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outlineLvl w:val="0"/>
        <w:rPr>
          <w:b/>
          <w:sz w:val="28"/>
          <w:szCs w:val="28"/>
        </w:rPr>
      </w:pPr>
      <w:bookmarkStart w:id="0" w:name="_Toc14477"/>
      <w:r>
        <w:rPr>
          <w:b/>
          <w:sz w:val="28"/>
          <w:szCs w:val="28"/>
        </w:rPr>
        <w:t>采购技术规格及要求</w:t>
      </w:r>
      <w:bookmarkEnd w:id="0"/>
    </w:p>
    <w:p>
      <w:pPr>
        <w:spacing w:line="360" w:lineRule="auto"/>
        <w:rPr>
          <w:b/>
          <w:bCs/>
          <w:szCs w:val="21"/>
        </w:rPr>
      </w:pPr>
      <w:bookmarkStart w:id="1" w:name="OLE_LINK1"/>
      <w:r>
        <w:rPr>
          <w:szCs w:val="21"/>
        </w:rPr>
        <w:t>一、</w:t>
      </w:r>
      <w:r>
        <w:rPr>
          <w:b/>
          <w:bCs/>
          <w:szCs w:val="21"/>
        </w:rPr>
        <w:t>采购项目简要说明</w:t>
      </w:r>
    </w:p>
    <w:tbl>
      <w:tblPr>
        <w:tblStyle w:val="8"/>
        <w:tblW w:w="49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3459"/>
        <w:gridCol w:w="2010"/>
        <w:gridCol w:w="2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38" w:type="pct"/>
            <w:vAlign w:val="center"/>
          </w:tcPr>
          <w:p>
            <w:pPr>
              <w:tabs>
                <w:tab w:val="left" w:pos="4788"/>
              </w:tabs>
              <w:spacing w:line="460" w:lineRule="exact"/>
              <w:ind w:right="-107" w:rightChars="-51"/>
              <w:rPr>
                <w:b/>
                <w:szCs w:val="21"/>
              </w:rPr>
            </w:pPr>
            <w:r>
              <w:rPr>
                <w:b/>
                <w:szCs w:val="21"/>
              </w:rPr>
              <w:t>序号</w:t>
            </w:r>
          </w:p>
        </w:tc>
        <w:tc>
          <w:tcPr>
            <w:tcW w:w="2034" w:type="pct"/>
            <w:vAlign w:val="center"/>
          </w:tcPr>
          <w:p>
            <w:pPr>
              <w:tabs>
                <w:tab w:val="left" w:pos="4788"/>
              </w:tabs>
              <w:spacing w:line="460" w:lineRule="exact"/>
              <w:ind w:right="-107" w:rightChars="-51"/>
              <w:jc w:val="center"/>
              <w:rPr>
                <w:b/>
                <w:szCs w:val="21"/>
              </w:rPr>
            </w:pPr>
            <w:r>
              <w:rPr>
                <w:b/>
                <w:szCs w:val="21"/>
              </w:rPr>
              <w:t>项目名称</w:t>
            </w:r>
          </w:p>
        </w:tc>
        <w:tc>
          <w:tcPr>
            <w:tcW w:w="1182" w:type="pct"/>
            <w:vAlign w:val="center"/>
          </w:tcPr>
          <w:p>
            <w:pPr>
              <w:tabs>
                <w:tab w:val="left" w:pos="4788"/>
              </w:tabs>
              <w:spacing w:line="460" w:lineRule="exact"/>
              <w:jc w:val="center"/>
              <w:rPr>
                <w:b/>
                <w:bCs/>
                <w:szCs w:val="21"/>
              </w:rPr>
            </w:pPr>
            <w:r>
              <w:rPr>
                <w:b/>
                <w:bCs/>
                <w:szCs w:val="21"/>
              </w:rPr>
              <w:t>合同履行期限</w:t>
            </w:r>
          </w:p>
          <w:p>
            <w:pPr>
              <w:tabs>
                <w:tab w:val="left" w:pos="4788"/>
              </w:tabs>
              <w:spacing w:line="460" w:lineRule="exact"/>
              <w:jc w:val="center"/>
              <w:rPr>
                <w:b/>
                <w:szCs w:val="21"/>
              </w:rPr>
            </w:pPr>
            <w:r>
              <w:rPr>
                <w:b/>
                <w:bCs/>
                <w:szCs w:val="21"/>
              </w:rPr>
              <w:t>（工期）</w:t>
            </w:r>
          </w:p>
        </w:tc>
        <w:tc>
          <w:tcPr>
            <w:tcW w:w="1444" w:type="pct"/>
            <w:vAlign w:val="center"/>
          </w:tcPr>
          <w:p>
            <w:pPr>
              <w:tabs>
                <w:tab w:val="left" w:pos="4788"/>
              </w:tabs>
              <w:spacing w:line="460" w:lineRule="exact"/>
              <w:jc w:val="center"/>
              <w:rPr>
                <w:b/>
                <w:szCs w:val="21"/>
              </w:rPr>
            </w:pPr>
            <w:r>
              <w:rPr>
                <w:b/>
                <w:szCs w:val="21"/>
              </w:rPr>
              <w:t>项目预算金额</w:t>
            </w:r>
          </w:p>
          <w:p>
            <w:pPr>
              <w:tabs>
                <w:tab w:val="left" w:pos="4788"/>
              </w:tabs>
              <w:spacing w:line="460" w:lineRule="exact"/>
              <w:jc w:val="center"/>
              <w:rPr>
                <w:b/>
                <w:szCs w:val="21"/>
              </w:rPr>
            </w:pPr>
            <w:r>
              <w:rPr>
                <w:b/>
                <w:szCs w:val="21"/>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338" w:type="pct"/>
            <w:vAlign w:val="center"/>
          </w:tcPr>
          <w:p>
            <w:pPr>
              <w:jc w:val="center"/>
              <w:rPr>
                <w:szCs w:val="22"/>
              </w:rPr>
            </w:pPr>
            <w:r>
              <w:rPr>
                <w:szCs w:val="22"/>
              </w:rPr>
              <w:t>1</w:t>
            </w:r>
          </w:p>
        </w:tc>
        <w:tc>
          <w:tcPr>
            <w:tcW w:w="2034" w:type="pct"/>
            <w:vAlign w:val="center"/>
          </w:tcPr>
          <w:p>
            <w:pPr>
              <w:tabs>
                <w:tab w:val="left" w:pos="4788"/>
              </w:tabs>
              <w:spacing w:line="460" w:lineRule="exact"/>
              <w:ind w:right="-107" w:rightChars="-51"/>
              <w:jc w:val="center"/>
              <w:rPr>
                <w:szCs w:val="21"/>
              </w:rPr>
            </w:pPr>
            <w:r>
              <w:rPr>
                <w:rFonts w:hint="eastAsia"/>
                <w:szCs w:val="21"/>
              </w:rPr>
              <w:t>中科南京生命健康高等研究院BSL-2实验室改造工程</w:t>
            </w:r>
          </w:p>
        </w:tc>
        <w:tc>
          <w:tcPr>
            <w:tcW w:w="1182" w:type="pct"/>
            <w:vAlign w:val="center"/>
          </w:tcPr>
          <w:p>
            <w:pPr>
              <w:tabs>
                <w:tab w:val="left" w:pos="4788"/>
              </w:tabs>
              <w:spacing w:line="460" w:lineRule="exact"/>
              <w:jc w:val="center"/>
              <w:rPr>
                <w:szCs w:val="21"/>
              </w:rPr>
            </w:pPr>
            <w:r>
              <w:rPr>
                <w:rFonts w:hint="eastAsia"/>
              </w:rPr>
              <w:t>3</w:t>
            </w:r>
            <w:r>
              <w:t>0天</w:t>
            </w:r>
          </w:p>
        </w:tc>
        <w:tc>
          <w:tcPr>
            <w:tcW w:w="1444" w:type="pct"/>
            <w:vAlign w:val="center"/>
          </w:tcPr>
          <w:p>
            <w:pPr>
              <w:jc w:val="center"/>
              <w:rPr>
                <w:rFonts w:eastAsia="等线"/>
                <w:sz w:val="22"/>
                <w:szCs w:val="22"/>
              </w:rPr>
            </w:pPr>
            <w:r>
              <w:rPr>
                <w:rFonts w:hint="eastAsia" w:eastAsia="等线"/>
                <w:color w:val="000000"/>
                <w:szCs w:val="21"/>
              </w:rPr>
              <w:t>35.00</w:t>
            </w:r>
          </w:p>
        </w:tc>
      </w:tr>
    </w:tbl>
    <w:p>
      <w:pPr>
        <w:spacing w:line="360" w:lineRule="auto"/>
        <w:rPr>
          <w:b/>
          <w:bCs/>
          <w:szCs w:val="21"/>
        </w:rPr>
      </w:pPr>
      <w:r>
        <w:rPr>
          <w:szCs w:val="21"/>
        </w:rPr>
        <w:t>二、采购需求</w:t>
      </w:r>
      <w:r>
        <w:rPr>
          <w:b/>
          <w:bCs/>
          <w:szCs w:val="21"/>
        </w:rPr>
        <w:t>（</w:t>
      </w:r>
      <w:r>
        <w:rPr>
          <w:bCs/>
          <w:szCs w:val="21"/>
        </w:rPr>
        <w:t>本技术要求提出的是最低限度的技术条件。</w:t>
      </w:r>
      <w:r>
        <w:rPr>
          <w:b/>
          <w:szCs w:val="21"/>
        </w:rPr>
        <w:t>供应商应注意在技术要求中如果出现了参考品牌或规格型号，其目的是为了方便供应商直观和准确地把握相应材料和设备的技术标准，不具指定或唯一的意思表示，供应商应当参考所列品牌的材料和设备，采购相当于或高于所列品牌技术标准的材料和设备</w:t>
      </w:r>
      <w:r>
        <w:rPr>
          <w:b/>
          <w:bCs/>
          <w:szCs w:val="21"/>
        </w:rPr>
        <w:t>。）</w:t>
      </w:r>
    </w:p>
    <w:p>
      <w:pPr>
        <w:widowControl/>
        <w:spacing w:line="360" w:lineRule="auto"/>
        <w:ind w:firstLine="420" w:firstLineChars="200"/>
      </w:pPr>
      <w:r>
        <w:rPr>
          <w:rFonts w:hint="eastAsia"/>
        </w:rPr>
        <w:t>中科南京生命健康高等研究院</w:t>
      </w:r>
      <w:r>
        <w:t>为满足</w:t>
      </w:r>
      <w:r>
        <w:rPr>
          <w:rFonts w:hint="eastAsia"/>
        </w:rPr>
        <w:t>生物安全二级实验室使用需要</w:t>
      </w:r>
      <w:r>
        <w:t>，拟对</w:t>
      </w:r>
      <w:r>
        <w:rPr>
          <w:rFonts w:hint="eastAsia"/>
        </w:rPr>
        <w:t>七个</w:t>
      </w:r>
      <w:r>
        <w:t>实验室进行装修改造。改造内容：装饰装修改造，强电系统改造，弱电系统改造</w:t>
      </w:r>
      <w:r>
        <w:rPr>
          <w:rFonts w:hint="eastAsia"/>
        </w:rPr>
        <w:t>，空调系统改造</w:t>
      </w:r>
      <w:r>
        <w:t>。</w:t>
      </w:r>
    </w:p>
    <w:p>
      <w:pPr>
        <w:pStyle w:val="13"/>
        <w:spacing w:line="360" w:lineRule="auto"/>
      </w:pPr>
      <w:r>
        <w:rPr>
          <w:rFonts w:hint="eastAsia"/>
          <w:bCs/>
          <w:szCs w:val="21"/>
        </w:rPr>
        <w:t>供应商</w:t>
      </w:r>
      <w:r>
        <w:rPr>
          <w:bCs/>
          <w:szCs w:val="21"/>
        </w:rPr>
        <w:t>配备不少于4名工程师</w:t>
      </w:r>
      <w:r>
        <w:rPr>
          <w:rFonts w:hint="eastAsia"/>
          <w:bCs/>
          <w:szCs w:val="21"/>
        </w:rPr>
        <w:t>，其中包含但不限于水电、消防等专业人员；具备完善的售后服务机制，能够1小时内响应，24小时内到达现场并能及时解决问题。</w:t>
      </w:r>
    </w:p>
    <w:p>
      <w:pPr>
        <w:pStyle w:val="2"/>
        <w:rPr>
          <w:rFonts w:ascii="Times New Roman" w:hAnsi="Times New Roman" w:cs="Times New Roman"/>
        </w:rPr>
      </w:pPr>
    </w:p>
    <w:bookmarkEnd w:id="1"/>
    <w:p>
      <w:pPr>
        <w:spacing w:line="360" w:lineRule="auto"/>
        <w:ind w:firstLine="422" w:firstLineChars="200"/>
        <w:rPr>
          <w:b/>
          <w:bCs/>
          <w:szCs w:val="21"/>
        </w:rPr>
      </w:pPr>
      <w:r>
        <w:rPr>
          <w:rFonts w:hint="eastAsia"/>
          <w:b/>
          <w:bCs/>
          <w:szCs w:val="21"/>
        </w:rPr>
        <w:t>改造设计平面</w:t>
      </w:r>
      <w:r>
        <w:rPr>
          <w:b/>
          <w:bCs/>
          <w:szCs w:val="21"/>
        </w:rPr>
        <w:t>图</w:t>
      </w:r>
      <w:r>
        <w:rPr>
          <w:rFonts w:hint="eastAsia"/>
          <w:b/>
          <w:bCs/>
          <w:szCs w:val="21"/>
        </w:rPr>
        <w:t>：</w:t>
      </w:r>
    </w:p>
    <w:p>
      <w:pPr>
        <w:pStyle w:val="2"/>
      </w:pPr>
      <w:r>
        <w:rPr>
          <w:rFonts w:hint="eastAsia"/>
        </w:rPr>
        <w:drawing>
          <wp:inline distT="0" distB="0" distL="114300" distR="114300">
            <wp:extent cx="5273040" cy="3735705"/>
            <wp:effectExtent l="0" t="0" r="3810" b="17145"/>
            <wp:docPr id="2" name="图片 2" descr="1695349198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95349198718"/>
                    <pic:cNvPicPr>
                      <a:picLocks noChangeAspect="1"/>
                    </pic:cNvPicPr>
                  </pic:nvPicPr>
                  <pic:blipFill>
                    <a:blip r:embed="rId6"/>
                    <a:stretch>
                      <a:fillRect/>
                    </a:stretch>
                  </pic:blipFill>
                  <pic:spPr>
                    <a:xfrm>
                      <a:off x="0" y="0"/>
                      <a:ext cx="5273040" cy="3735705"/>
                    </a:xfrm>
                    <a:prstGeom prst="rect">
                      <a:avLst/>
                    </a:prstGeom>
                  </pic:spPr>
                </pic:pic>
              </a:graphicData>
            </a:graphic>
          </wp:inline>
        </w:drawing>
      </w:r>
    </w:p>
    <w:p>
      <w:pPr>
        <w:rPr>
          <w:szCs w:val="21"/>
        </w:rPr>
      </w:pPr>
    </w:p>
    <w:p>
      <w:pPr>
        <w:spacing w:line="360" w:lineRule="auto"/>
      </w:pPr>
      <w:r>
        <w:rPr>
          <w:szCs w:val="21"/>
        </w:rPr>
        <w:t>备注：项目中包含但不限于所有工程所需的一切材料设备，如项目所必需的而未列入工程量清单明细的，投标人须自行添加，招标人不再续加费用。</w:t>
      </w:r>
      <w:r>
        <w:rPr>
          <w:rFonts w:hint="eastAsia"/>
        </w:rPr>
        <w:t>施工材料进场，须经采购人核验品牌、数量、型号等情况后，方可施工。</w:t>
      </w:r>
    </w:p>
    <w:tbl>
      <w:tblPr>
        <w:tblStyle w:val="8"/>
        <w:tblW w:w="8434" w:type="dxa"/>
        <w:tblInd w:w="108" w:type="dxa"/>
        <w:tblLayout w:type="fixed"/>
        <w:tblCellMar>
          <w:top w:w="0" w:type="dxa"/>
          <w:left w:w="108" w:type="dxa"/>
          <w:bottom w:w="0" w:type="dxa"/>
          <w:right w:w="108" w:type="dxa"/>
        </w:tblCellMar>
      </w:tblPr>
      <w:tblGrid>
        <w:gridCol w:w="709"/>
        <w:gridCol w:w="1843"/>
        <w:gridCol w:w="1746"/>
        <w:gridCol w:w="1639"/>
        <w:gridCol w:w="1436"/>
        <w:gridCol w:w="1061"/>
      </w:tblGrid>
      <w:tr>
        <w:tblPrEx>
          <w:tblCellMar>
            <w:top w:w="0" w:type="dxa"/>
            <w:left w:w="108" w:type="dxa"/>
            <w:bottom w:w="0" w:type="dxa"/>
            <w:right w:w="108" w:type="dxa"/>
          </w:tblCellMar>
        </w:tblPrEx>
        <w:trPr>
          <w:trHeight w:val="113" w:hRule="atLeast"/>
        </w:trPr>
        <w:tc>
          <w:tcPr>
            <w:tcW w:w="8434"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主要材料、设备推荐品牌表</w:t>
            </w:r>
          </w:p>
        </w:tc>
      </w:tr>
      <w:tr>
        <w:tblPrEx>
          <w:tblCellMar>
            <w:top w:w="0" w:type="dxa"/>
            <w:left w:w="108" w:type="dxa"/>
            <w:bottom w:w="0" w:type="dxa"/>
            <w:right w:w="108" w:type="dxa"/>
          </w:tblCellMar>
        </w:tblPrEx>
        <w:trPr>
          <w:trHeight w:val="113"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序号</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材料、设备名称</w:t>
            </w:r>
          </w:p>
        </w:tc>
        <w:tc>
          <w:tcPr>
            <w:tcW w:w="4821"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推荐品牌</w:t>
            </w:r>
          </w:p>
        </w:tc>
        <w:tc>
          <w:tcPr>
            <w:tcW w:w="10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113"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双玻镁岩棉手工彩钢板</w:t>
            </w:r>
          </w:p>
        </w:tc>
        <w:tc>
          <w:tcPr>
            <w:tcW w:w="17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安徽/泰境</w:t>
            </w:r>
          </w:p>
        </w:tc>
        <w:tc>
          <w:tcPr>
            <w:tcW w:w="16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万事达</w:t>
            </w:r>
          </w:p>
        </w:tc>
        <w:tc>
          <w:tcPr>
            <w:tcW w:w="1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艾绿</w:t>
            </w:r>
          </w:p>
        </w:tc>
        <w:tc>
          <w:tcPr>
            <w:tcW w:w="10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13"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双门互锁传递窗</w:t>
            </w:r>
          </w:p>
        </w:tc>
        <w:tc>
          <w:tcPr>
            <w:tcW w:w="17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江苏/恒夏</w:t>
            </w:r>
          </w:p>
        </w:tc>
        <w:tc>
          <w:tcPr>
            <w:tcW w:w="16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新华</w:t>
            </w:r>
          </w:p>
        </w:tc>
        <w:tc>
          <w:tcPr>
            <w:tcW w:w="1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欣华恒</w:t>
            </w:r>
          </w:p>
        </w:tc>
        <w:tc>
          <w:tcPr>
            <w:tcW w:w="10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13"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变频中效排风机组</w:t>
            </w:r>
          </w:p>
        </w:tc>
        <w:tc>
          <w:tcPr>
            <w:tcW w:w="17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山东/创森</w:t>
            </w:r>
          </w:p>
        </w:tc>
        <w:tc>
          <w:tcPr>
            <w:tcW w:w="16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应达</w:t>
            </w:r>
          </w:p>
        </w:tc>
        <w:tc>
          <w:tcPr>
            <w:tcW w:w="1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绿岛风</w:t>
            </w:r>
          </w:p>
        </w:tc>
        <w:tc>
          <w:tcPr>
            <w:tcW w:w="10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13"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橡塑保温</w:t>
            </w:r>
          </w:p>
        </w:tc>
        <w:tc>
          <w:tcPr>
            <w:tcW w:w="17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河北/华美</w:t>
            </w:r>
          </w:p>
        </w:tc>
        <w:tc>
          <w:tcPr>
            <w:tcW w:w="16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迈图</w:t>
            </w:r>
          </w:p>
        </w:tc>
        <w:tc>
          <w:tcPr>
            <w:tcW w:w="1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万丰</w:t>
            </w:r>
          </w:p>
        </w:tc>
        <w:tc>
          <w:tcPr>
            <w:tcW w:w="10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13"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70℃防火阀</w:t>
            </w:r>
          </w:p>
        </w:tc>
        <w:tc>
          <w:tcPr>
            <w:tcW w:w="17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江苏/大峰</w:t>
            </w:r>
          </w:p>
        </w:tc>
        <w:tc>
          <w:tcPr>
            <w:tcW w:w="16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亚泰</w:t>
            </w:r>
          </w:p>
        </w:tc>
        <w:tc>
          <w:tcPr>
            <w:tcW w:w="1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创森</w:t>
            </w:r>
          </w:p>
        </w:tc>
        <w:tc>
          <w:tcPr>
            <w:tcW w:w="10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13"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多叶调节阀</w:t>
            </w:r>
          </w:p>
        </w:tc>
        <w:tc>
          <w:tcPr>
            <w:tcW w:w="17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江苏/大峰</w:t>
            </w:r>
          </w:p>
        </w:tc>
        <w:tc>
          <w:tcPr>
            <w:tcW w:w="16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亚泰</w:t>
            </w:r>
          </w:p>
        </w:tc>
        <w:tc>
          <w:tcPr>
            <w:tcW w:w="1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创森</w:t>
            </w:r>
          </w:p>
        </w:tc>
        <w:tc>
          <w:tcPr>
            <w:tcW w:w="10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13"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亚高效送排风口</w:t>
            </w:r>
          </w:p>
        </w:tc>
        <w:tc>
          <w:tcPr>
            <w:tcW w:w="17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江苏/大峰</w:t>
            </w:r>
          </w:p>
        </w:tc>
        <w:tc>
          <w:tcPr>
            <w:tcW w:w="16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亚泰</w:t>
            </w:r>
          </w:p>
        </w:tc>
        <w:tc>
          <w:tcPr>
            <w:tcW w:w="1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创森</w:t>
            </w:r>
          </w:p>
        </w:tc>
        <w:tc>
          <w:tcPr>
            <w:tcW w:w="10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13"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电动风量调节阀</w:t>
            </w:r>
          </w:p>
        </w:tc>
        <w:tc>
          <w:tcPr>
            <w:tcW w:w="17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京森自控</w:t>
            </w:r>
          </w:p>
        </w:tc>
        <w:tc>
          <w:tcPr>
            <w:tcW w:w="16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天润</w:t>
            </w:r>
          </w:p>
        </w:tc>
        <w:tc>
          <w:tcPr>
            <w:tcW w:w="1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熙诺</w:t>
            </w:r>
          </w:p>
        </w:tc>
        <w:tc>
          <w:tcPr>
            <w:tcW w:w="10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13"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电线</w:t>
            </w:r>
          </w:p>
        </w:tc>
        <w:tc>
          <w:tcPr>
            <w:tcW w:w="17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无锡/江南</w:t>
            </w:r>
          </w:p>
        </w:tc>
        <w:tc>
          <w:tcPr>
            <w:tcW w:w="16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远东电缆</w:t>
            </w:r>
          </w:p>
        </w:tc>
        <w:tc>
          <w:tcPr>
            <w:tcW w:w="1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上上</w:t>
            </w:r>
          </w:p>
        </w:tc>
        <w:tc>
          <w:tcPr>
            <w:tcW w:w="10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13"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电缆</w:t>
            </w:r>
          </w:p>
        </w:tc>
        <w:tc>
          <w:tcPr>
            <w:tcW w:w="17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无锡/江南</w:t>
            </w:r>
          </w:p>
        </w:tc>
        <w:tc>
          <w:tcPr>
            <w:tcW w:w="16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远东电缆</w:t>
            </w:r>
          </w:p>
        </w:tc>
        <w:tc>
          <w:tcPr>
            <w:tcW w:w="1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上上</w:t>
            </w:r>
          </w:p>
        </w:tc>
        <w:tc>
          <w:tcPr>
            <w:tcW w:w="10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13"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控制线</w:t>
            </w:r>
          </w:p>
        </w:tc>
        <w:tc>
          <w:tcPr>
            <w:tcW w:w="17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无锡/江南</w:t>
            </w:r>
          </w:p>
        </w:tc>
        <w:tc>
          <w:tcPr>
            <w:tcW w:w="16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远东电缆</w:t>
            </w:r>
          </w:p>
        </w:tc>
        <w:tc>
          <w:tcPr>
            <w:tcW w:w="1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上上</w:t>
            </w:r>
          </w:p>
        </w:tc>
        <w:tc>
          <w:tcPr>
            <w:tcW w:w="10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13"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7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6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13"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7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6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13"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7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6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bl>
    <w:p>
      <w:pPr>
        <w:spacing w:line="360" w:lineRule="auto"/>
      </w:pPr>
    </w:p>
    <w:p>
      <w:pPr>
        <w:pStyle w:val="7"/>
        <w:spacing w:line="360" w:lineRule="auto"/>
        <w:ind w:firstLine="0" w:firstLineChars="0"/>
        <w:rPr>
          <w:b/>
          <w:bCs/>
          <w:spacing w:val="4"/>
          <w:szCs w:val="21"/>
        </w:rPr>
      </w:pPr>
    </w:p>
    <w:p>
      <w:pPr>
        <w:pStyle w:val="7"/>
        <w:spacing w:line="360" w:lineRule="auto"/>
        <w:ind w:firstLine="0" w:firstLineChars="0"/>
        <w:rPr>
          <w:b/>
          <w:bCs/>
          <w:spacing w:val="4"/>
          <w:szCs w:val="21"/>
        </w:rPr>
      </w:pPr>
      <w:r>
        <w:rPr>
          <w:b/>
          <w:bCs/>
          <w:spacing w:val="4"/>
          <w:szCs w:val="21"/>
        </w:rPr>
        <w:t>★三、付款方式：</w:t>
      </w:r>
    </w:p>
    <w:p>
      <w:pPr>
        <w:pStyle w:val="7"/>
        <w:numPr>
          <w:ilvl w:val="0"/>
          <w:numId w:val="2"/>
        </w:numPr>
        <w:adjustRightInd/>
        <w:spacing w:line="360" w:lineRule="auto"/>
        <w:ind w:firstLine="436" w:firstLineChars="200"/>
        <w:textAlignment w:val="auto"/>
        <w:rPr>
          <w:spacing w:val="4"/>
          <w:szCs w:val="21"/>
        </w:rPr>
      </w:pPr>
      <w:r>
        <w:rPr>
          <w:spacing w:val="4"/>
          <w:szCs w:val="21"/>
        </w:rPr>
        <w:t>付款方式：合同签订后，工程开始前支付合同总额的</w:t>
      </w:r>
      <w:r>
        <w:rPr>
          <w:rFonts w:hint="eastAsia"/>
          <w:spacing w:val="4"/>
          <w:szCs w:val="21"/>
        </w:rPr>
        <w:t>3</w:t>
      </w:r>
      <w:r>
        <w:rPr>
          <w:spacing w:val="4"/>
          <w:szCs w:val="21"/>
        </w:rPr>
        <w:t>0%，工程完工后按</w:t>
      </w:r>
      <w:r>
        <w:rPr>
          <w:rFonts w:hint="eastAsia"/>
          <w:spacing w:val="4"/>
          <w:szCs w:val="21"/>
        </w:rPr>
        <w:t>支付合同总额的50%，工程竣工验收合格并开具发票后支付合同总额的15%，竣工验收满一年后支付合同尾款5%</w:t>
      </w:r>
      <w:r>
        <w:rPr>
          <w:spacing w:val="4"/>
          <w:szCs w:val="21"/>
        </w:rPr>
        <w:t>。</w:t>
      </w:r>
    </w:p>
    <w:p>
      <w:pPr>
        <w:pStyle w:val="7"/>
        <w:adjustRightInd/>
        <w:spacing w:line="360" w:lineRule="auto"/>
        <w:ind w:firstLine="0" w:firstLineChars="0"/>
        <w:textAlignment w:val="auto"/>
        <w:rPr>
          <w:spacing w:val="4"/>
          <w:szCs w:val="21"/>
        </w:rPr>
      </w:pPr>
    </w:p>
    <w:p>
      <w:pPr>
        <w:pStyle w:val="7"/>
        <w:spacing w:line="360" w:lineRule="auto"/>
        <w:ind w:firstLine="0" w:firstLineChars="0"/>
      </w:pPr>
      <w:r>
        <w:rPr>
          <w:b/>
          <w:bCs/>
          <w:spacing w:val="4"/>
          <w:szCs w:val="21"/>
        </w:rPr>
        <w:t>四、质保期：整体项目免费质保期</w:t>
      </w:r>
      <w:r>
        <w:rPr>
          <w:rFonts w:hint="eastAsia"/>
          <w:b/>
          <w:bCs/>
          <w:spacing w:val="4"/>
          <w:szCs w:val="21"/>
        </w:rPr>
        <w:t>2</w:t>
      </w:r>
      <w:r>
        <w:rPr>
          <w:b/>
          <w:bCs/>
          <w:spacing w:val="4"/>
          <w:szCs w:val="21"/>
        </w:rPr>
        <w:t>年，水电免费质保期5年</w:t>
      </w:r>
      <w:r>
        <w:rPr>
          <w:rFonts w:hint="eastAsia"/>
          <w:b/>
          <w:bCs/>
          <w:spacing w:val="4"/>
          <w:szCs w:val="21"/>
        </w:rPr>
        <w:t>。</w:t>
      </w:r>
      <w:r>
        <w:rPr>
          <w:spacing w:val="4"/>
          <w:szCs w:val="21"/>
        </w:rPr>
        <w:t>质</w:t>
      </w:r>
      <w:r>
        <w:rPr>
          <w:szCs w:val="21"/>
        </w:rPr>
        <w:t>保期从验收合格后当日起计算。质保期结束前，须进行一次免费的全面校正和维护保养。</w:t>
      </w:r>
    </w:p>
    <w:p>
      <w:pPr>
        <w:adjustRightInd w:val="0"/>
        <w:snapToGrid w:val="0"/>
        <w:spacing w:line="360" w:lineRule="auto"/>
        <w:jc w:val="left"/>
        <w:rPr>
          <w:b/>
          <w:bCs/>
          <w:sz w:val="32"/>
        </w:rPr>
      </w:pPr>
    </w:p>
    <w:p>
      <w:pPr>
        <w:pStyle w:val="2"/>
      </w:pPr>
    </w:p>
    <w:p>
      <w:pPr>
        <w:pStyle w:val="2"/>
      </w:pPr>
      <w:bookmarkStart w:id="3" w:name="_GoBack"/>
      <w:bookmarkEnd w:id="3"/>
    </w:p>
    <w:p>
      <w:pPr>
        <w:adjustRightInd w:val="0"/>
        <w:snapToGrid w:val="0"/>
        <w:spacing w:line="360" w:lineRule="auto"/>
        <w:jc w:val="left"/>
        <w:rPr>
          <w:b/>
          <w:bCs/>
          <w:spacing w:val="4"/>
          <w:kern w:val="0"/>
          <w:szCs w:val="21"/>
        </w:rPr>
      </w:pPr>
      <w:r>
        <w:rPr>
          <w:rFonts w:hint="eastAsia"/>
          <w:b/>
          <w:bCs/>
          <w:spacing w:val="4"/>
          <w:kern w:val="0"/>
          <w:szCs w:val="21"/>
        </w:rPr>
        <w:t>五、资格性审查</w:t>
      </w:r>
    </w:p>
    <w:tbl>
      <w:tblPr>
        <w:tblStyle w:val="8"/>
        <w:tblW w:w="9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2296"/>
        <w:gridCol w:w="6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001" w:type="dxa"/>
            <w:shd w:val="clear" w:color="auto" w:fill="FFFFFF"/>
            <w:vAlign w:val="center"/>
          </w:tcPr>
          <w:p>
            <w:pPr>
              <w:jc w:val="center"/>
              <w:rPr>
                <w:kern w:val="0"/>
                <w:szCs w:val="21"/>
              </w:rPr>
            </w:pPr>
            <w:r>
              <w:rPr>
                <w:rFonts w:hint="eastAsia"/>
                <w:kern w:val="0"/>
                <w:szCs w:val="21"/>
              </w:rPr>
              <w:t>序号</w:t>
            </w:r>
          </w:p>
        </w:tc>
        <w:tc>
          <w:tcPr>
            <w:tcW w:w="8778" w:type="dxa"/>
            <w:gridSpan w:val="2"/>
            <w:shd w:val="clear" w:color="auto" w:fill="FFFFFF"/>
            <w:vAlign w:val="center"/>
          </w:tcPr>
          <w:p>
            <w:pPr>
              <w:ind w:right="-124" w:rightChars="-59"/>
              <w:jc w:val="center"/>
              <w:rPr>
                <w:kern w:val="0"/>
                <w:szCs w:val="21"/>
              </w:rPr>
            </w:pPr>
            <w:r>
              <w:rPr>
                <w:rFonts w:hint="eastAsia"/>
                <w:kern w:val="0"/>
                <w:szCs w:val="21"/>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01" w:type="dxa"/>
            <w:vMerge w:val="restart"/>
            <w:vAlign w:val="center"/>
          </w:tcPr>
          <w:p>
            <w:pPr>
              <w:jc w:val="center"/>
              <w:rPr>
                <w:kern w:val="0"/>
                <w:szCs w:val="21"/>
              </w:rPr>
            </w:pPr>
            <w:r>
              <w:rPr>
                <w:rFonts w:hint="eastAsia"/>
                <w:kern w:val="0"/>
                <w:szCs w:val="21"/>
              </w:rPr>
              <w:t>1</w:t>
            </w:r>
          </w:p>
        </w:tc>
        <w:tc>
          <w:tcPr>
            <w:tcW w:w="2296" w:type="dxa"/>
            <w:vMerge w:val="restart"/>
            <w:vAlign w:val="center"/>
          </w:tcPr>
          <w:p>
            <w:pPr>
              <w:rPr>
                <w:kern w:val="0"/>
                <w:szCs w:val="21"/>
              </w:rPr>
            </w:pPr>
            <w:r>
              <w:rPr>
                <w:rFonts w:hint="eastAsia"/>
                <w:kern w:val="0"/>
                <w:szCs w:val="21"/>
              </w:rPr>
              <w:t>具备《政府采购法》第二十二条供应商资格条件</w:t>
            </w:r>
          </w:p>
        </w:tc>
        <w:tc>
          <w:tcPr>
            <w:tcW w:w="6482" w:type="dxa"/>
            <w:vAlign w:val="center"/>
          </w:tcPr>
          <w:p>
            <w:pPr>
              <w:rPr>
                <w:kern w:val="0"/>
                <w:szCs w:val="21"/>
              </w:rPr>
            </w:pPr>
            <w:r>
              <w:rPr>
                <w:rFonts w:hint="eastAsia"/>
                <w:kern w:val="0"/>
                <w:szCs w:val="21"/>
              </w:rPr>
              <w:t xml:space="preserve">具有独立承担民事责任的能力；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01" w:type="dxa"/>
            <w:vMerge w:val="continue"/>
            <w:vAlign w:val="center"/>
          </w:tcPr>
          <w:p>
            <w:pPr>
              <w:jc w:val="center"/>
              <w:rPr>
                <w:kern w:val="0"/>
                <w:szCs w:val="21"/>
              </w:rPr>
            </w:pPr>
          </w:p>
        </w:tc>
        <w:tc>
          <w:tcPr>
            <w:tcW w:w="2296" w:type="dxa"/>
            <w:vMerge w:val="continue"/>
            <w:vAlign w:val="center"/>
          </w:tcPr>
          <w:p>
            <w:pPr>
              <w:rPr>
                <w:kern w:val="0"/>
                <w:szCs w:val="21"/>
              </w:rPr>
            </w:pPr>
          </w:p>
        </w:tc>
        <w:tc>
          <w:tcPr>
            <w:tcW w:w="6482" w:type="dxa"/>
            <w:vAlign w:val="center"/>
          </w:tcPr>
          <w:p>
            <w:pPr>
              <w:rPr>
                <w:kern w:val="0"/>
                <w:szCs w:val="21"/>
              </w:rPr>
            </w:pPr>
            <w:r>
              <w:rPr>
                <w:rFonts w:hint="eastAsia"/>
                <w:kern w:val="0"/>
                <w:szCs w:val="21"/>
              </w:rPr>
              <w:t xml:space="preserve">具有良好的商业信誉和健全的财务会计制度；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01" w:type="dxa"/>
            <w:vMerge w:val="continue"/>
            <w:vAlign w:val="center"/>
          </w:tcPr>
          <w:p>
            <w:pPr>
              <w:jc w:val="center"/>
              <w:rPr>
                <w:kern w:val="0"/>
                <w:szCs w:val="21"/>
              </w:rPr>
            </w:pPr>
          </w:p>
        </w:tc>
        <w:tc>
          <w:tcPr>
            <w:tcW w:w="2296" w:type="dxa"/>
            <w:vMerge w:val="continue"/>
            <w:vAlign w:val="center"/>
          </w:tcPr>
          <w:p>
            <w:pPr>
              <w:rPr>
                <w:kern w:val="0"/>
                <w:szCs w:val="21"/>
              </w:rPr>
            </w:pPr>
          </w:p>
        </w:tc>
        <w:tc>
          <w:tcPr>
            <w:tcW w:w="6482" w:type="dxa"/>
            <w:vAlign w:val="center"/>
          </w:tcPr>
          <w:p>
            <w:pPr>
              <w:rPr>
                <w:kern w:val="0"/>
                <w:szCs w:val="21"/>
              </w:rPr>
            </w:pPr>
            <w:r>
              <w:rPr>
                <w:rFonts w:hint="eastAsia"/>
                <w:kern w:val="0"/>
                <w:szCs w:val="21"/>
              </w:rPr>
              <w:t xml:space="preserve">具有履行合同所必需的设备和专业技术能力；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01" w:type="dxa"/>
            <w:vMerge w:val="continue"/>
            <w:vAlign w:val="center"/>
          </w:tcPr>
          <w:p>
            <w:pPr>
              <w:jc w:val="center"/>
              <w:rPr>
                <w:kern w:val="0"/>
                <w:szCs w:val="21"/>
              </w:rPr>
            </w:pPr>
          </w:p>
        </w:tc>
        <w:tc>
          <w:tcPr>
            <w:tcW w:w="2296" w:type="dxa"/>
            <w:vMerge w:val="continue"/>
            <w:vAlign w:val="center"/>
          </w:tcPr>
          <w:p>
            <w:pPr>
              <w:rPr>
                <w:kern w:val="0"/>
                <w:szCs w:val="21"/>
              </w:rPr>
            </w:pPr>
          </w:p>
        </w:tc>
        <w:tc>
          <w:tcPr>
            <w:tcW w:w="6482" w:type="dxa"/>
            <w:vAlign w:val="center"/>
          </w:tcPr>
          <w:p>
            <w:pPr>
              <w:rPr>
                <w:kern w:val="0"/>
                <w:szCs w:val="21"/>
              </w:rPr>
            </w:pPr>
            <w:r>
              <w:rPr>
                <w:rFonts w:hint="eastAsia"/>
                <w:kern w:val="0"/>
                <w:szCs w:val="21"/>
              </w:rPr>
              <w:t xml:space="preserve">有依法缴纳税收和社会保障资金的良好记录；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01" w:type="dxa"/>
            <w:vMerge w:val="continue"/>
            <w:vAlign w:val="center"/>
          </w:tcPr>
          <w:p>
            <w:pPr>
              <w:jc w:val="center"/>
              <w:rPr>
                <w:kern w:val="0"/>
                <w:szCs w:val="21"/>
              </w:rPr>
            </w:pPr>
          </w:p>
        </w:tc>
        <w:tc>
          <w:tcPr>
            <w:tcW w:w="2296" w:type="dxa"/>
            <w:vMerge w:val="continue"/>
            <w:vAlign w:val="center"/>
          </w:tcPr>
          <w:p>
            <w:pPr>
              <w:rPr>
                <w:kern w:val="0"/>
                <w:szCs w:val="21"/>
              </w:rPr>
            </w:pPr>
          </w:p>
        </w:tc>
        <w:tc>
          <w:tcPr>
            <w:tcW w:w="6482" w:type="dxa"/>
            <w:vAlign w:val="center"/>
          </w:tcPr>
          <w:p>
            <w:pPr>
              <w:rPr>
                <w:kern w:val="0"/>
                <w:szCs w:val="21"/>
              </w:rPr>
            </w:pPr>
            <w:r>
              <w:rPr>
                <w:rFonts w:hint="eastAsia"/>
                <w:kern w:val="0"/>
                <w:szCs w:val="21"/>
              </w:rPr>
              <w:t xml:space="preserve">参加招标投标活动前三年内，在经营活动中没有重大违法记录；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01" w:type="dxa"/>
            <w:vMerge w:val="continue"/>
            <w:vAlign w:val="center"/>
          </w:tcPr>
          <w:p>
            <w:pPr>
              <w:jc w:val="center"/>
              <w:rPr>
                <w:kern w:val="0"/>
                <w:szCs w:val="21"/>
              </w:rPr>
            </w:pPr>
          </w:p>
        </w:tc>
        <w:tc>
          <w:tcPr>
            <w:tcW w:w="2296" w:type="dxa"/>
            <w:vMerge w:val="continue"/>
            <w:vAlign w:val="center"/>
          </w:tcPr>
          <w:p>
            <w:pPr>
              <w:rPr>
                <w:kern w:val="0"/>
                <w:szCs w:val="21"/>
              </w:rPr>
            </w:pPr>
          </w:p>
        </w:tc>
        <w:tc>
          <w:tcPr>
            <w:tcW w:w="6482" w:type="dxa"/>
            <w:vAlign w:val="center"/>
          </w:tcPr>
          <w:p>
            <w:pPr>
              <w:rPr>
                <w:kern w:val="0"/>
                <w:szCs w:val="21"/>
              </w:rPr>
            </w:pPr>
            <w:r>
              <w:rPr>
                <w:rFonts w:hint="eastAsia"/>
                <w:kern w:val="0"/>
                <w:szCs w:val="21"/>
              </w:rPr>
              <w:t>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1" w:type="dxa"/>
            <w:vAlign w:val="center"/>
          </w:tcPr>
          <w:p>
            <w:pPr>
              <w:jc w:val="center"/>
              <w:rPr>
                <w:kern w:val="0"/>
                <w:szCs w:val="21"/>
              </w:rPr>
            </w:pPr>
            <w:r>
              <w:rPr>
                <w:rFonts w:hint="eastAsia"/>
                <w:kern w:val="0"/>
                <w:szCs w:val="21"/>
              </w:rPr>
              <w:t>2</w:t>
            </w:r>
          </w:p>
        </w:tc>
        <w:tc>
          <w:tcPr>
            <w:tcW w:w="8778" w:type="dxa"/>
            <w:gridSpan w:val="2"/>
            <w:vAlign w:val="center"/>
          </w:tcPr>
          <w:p>
            <w:pPr>
              <w:rPr>
                <w:kern w:val="0"/>
                <w:szCs w:val="21"/>
              </w:rPr>
            </w:pPr>
            <w:r>
              <w:rPr>
                <w:rFonts w:hint="eastAsia"/>
                <w:kern w:val="0"/>
                <w:szCs w:val="21"/>
              </w:rPr>
              <w:t>在中华人民共和国境内依法注册的，具有独立承担民事责任能力，遵守国家法律法规，具有良好信誉，具有履行合同能力和良好的履行合同的记录，具有良好资金、财务状况的法人实体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1" w:type="dxa"/>
            <w:vAlign w:val="center"/>
          </w:tcPr>
          <w:p>
            <w:pPr>
              <w:jc w:val="center"/>
              <w:rPr>
                <w:kern w:val="0"/>
                <w:szCs w:val="21"/>
              </w:rPr>
            </w:pPr>
            <w:r>
              <w:rPr>
                <w:rFonts w:hint="eastAsia"/>
                <w:kern w:val="0"/>
                <w:szCs w:val="21"/>
              </w:rPr>
              <w:t>3</w:t>
            </w:r>
          </w:p>
        </w:tc>
        <w:tc>
          <w:tcPr>
            <w:tcW w:w="8778" w:type="dxa"/>
            <w:gridSpan w:val="2"/>
            <w:vAlign w:val="center"/>
          </w:tcPr>
          <w:p>
            <w:pPr>
              <w:rPr>
                <w:kern w:val="0"/>
                <w:szCs w:val="21"/>
              </w:rPr>
            </w:pPr>
            <w:r>
              <w:rPr>
                <w:rFonts w:hint="eastAsia"/>
                <w:kern w:val="0"/>
                <w:szCs w:val="21"/>
              </w:rPr>
              <w:t>为采购项目提供整体设计、规范编制或者项目管理、监理、检测等服务的供应商，不得参加本项目投标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1" w:type="dxa"/>
            <w:vAlign w:val="center"/>
          </w:tcPr>
          <w:p>
            <w:pPr>
              <w:jc w:val="center"/>
              <w:rPr>
                <w:kern w:val="0"/>
                <w:szCs w:val="21"/>
              </w:rPr>
            </w:pPr>
            <w:r>
              <w:rPr>
                <w:rFonts w:hint="eastAsia"/>
                <w:kern w:val="0"/>
                <w:szCs w:val="21"/>
              </w:rPr>
              <w:t>4</w:t>
            </w:r>
          </w:p>
        </w:tc>
        <w:tc>
          <w:tcPr>
            <w:tcW w:w="8778" w:type="dxa"/>
            <w:gridSpan w:val="2"/>
            <w:vAlign w:val="center"/>
          </w:tcPr>
          <w:p>
            <w:pPr>
              <w:rPr>
                <w:kern w:val="0"/>
                <w:szCs w:val="21"/>
              </w:rPr>
            </w:pPr>
            <w:r>
              <w:rPr>
                <w:rFonts w:hint="eastAsia"/>
                <w:kern w:val="0"/>
                <w:szCs w:val="21"/>
              </w:rPr>
              <w:t>投标单位负责人为同一人或者存在直接控股、管理关系的不同供应商，不得参加同一合同项下的政府采购活动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1" w:type="dxa"/>
            <w:vAlign w:val="center"/>
          </w:tcPr>
          <w:p>
            <w:pPr>
              <w:jc w:val="center"/>
              <w:rPr>
                <w:kern w:val="0"/>
                <w:szCs w:val="21"/>
              </w:rPr>
            </w:pPr>
            <w:r>
              <w:rPr>
                <w:rFonts w:hint="eastAsia"/>
                <w:kern w:val="0"/>
                <w:szCs w:val="21"/>
              </w:rPr>
              <w:t>5</w:t>
            </w:r>
          </w:p>
        </w:tc>
        <w:tc>
          <w:tcPr>
            <w:tcW w:w="8778" w:type="dxa"/>
            <w:gridSpan w:val="2"/>
            <w:vAlign w:val="center"/>
          </w:tcPr>
          <w:p>
            <w:pPr>
              <w:rPr>
                <w:kern w:val="0"/>
                <w:szCs w:val="21"/>
              </w:rPr>
            </w:pPr>
            <w:r>
              <w:rPr>
                <w:rFonts w:hint="eastAsia"/>
                <w:kern w:val="0"/>
                <w:szCs w:val="21"/>
              </w:rPr>
              <w:t>银行出具的资信证明文件或公司上一年度经审计的审计报告（投标人必须提供，但由专业担保机构已出具投标担保函的除外）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1" w:type="dxa"/>
            <w:vAlign w:val="center"/>
          </w:tcPr>
          <w:p>
            <w:pPr>
              <w:jc w:val="center"/>
              <w:rPr>
                <w:kern w:val="0"/>
                <w:szCs w:val="21"/>
              </w:rPr>
            </w:pPr>
            <w:r>
              <w:rPr>
                <w:rFonts w:hint="eastAsia"/>
                <w:kern w:val="0"/>
                <w:szCs w:val="21"/>
              </w:rPr>
              <w:t>6</w:t>
            </w:r>
          </w:p>
        </w:tc>
        <w:tc>
          <w:tcPr>
            <w:tcW w:w="8778" w:type="dxa"/>
            <w:gridSpan w:val="2"/>
            <w:vAlign w:val="center"/>
          </w:tcPr>
          <w:p>
            <w:pPr>
              <w:tabs>
                <w:tab w:val="left" w:pos="5580"/>
              </w:tabs>
              <w:adjustRightInd w:val="0"/>
              <w:snapToGrid w:val="0"/>
              <w:ind w:firstLine="420" w:firstLineChars="200"/>
              <w:rPr>
                <w:kern w:val="0"/>
                <w:szCs w:val="21"/>
              </w:rPr>
            </w:pPr>
            <w:r>
              <w:rPr>
                <w:rFonts w:hint="eastAsia"/>
                <w:kern w:val="0"/>
                <w:szCs w:val="21"/>
              </w:rPr>
              <w:t>依法缴纳税收的记录（提供投标截止日期之前12个月内任何一期纳税记录复印件并加盖公章）（自行编写无效）（依法免税的供应商，须提供相应文件证明其依法免税）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1" w:type="dxa"/>
            <w:vAlign w:val="center"/>
          </w:tcPr>
          <w:p>
            <w:pPr>
              <w:jc w:val="center"/>
              <w:rPr>
                <w:kern w:val="0"/>
                <w:szCs w:val="21"/>
              </w:rPr>
            </w:pPr>
            <w:r>
              <w:rPr>
                <w:rFonts w:hint="eastAsia"/>
                <w:kern w:val="0"/>
                <w:szCs w:val="21"/>
              </w:rPr>
              <w:t>7</w:t>
            </w:r>
          </w:p>
        </w:tc>
        <w:tc>
          <w:tcPr>
            <w:tcW w:w="8778" w:type="dxa"/>
            <w:gridSpan w:val="2"/>
            <w:vAlign w:val="center"/>
          </w:tcPr>
          <w:p>
            <w:pPr>
              <w:jc w:val="left"/>
              <w:rPr>
                <w:kern w:val="0"/>
                <w:szCs w:val="21"/>
              </w:rPr>
            </w:pPr>
            <w:r>
              <w:rPr>
                <w:rFonts w:hint="eastAsia"/>
                <w:kern w:val="0"/>
                <w:szCs w:val="21"/>
              </w:rPr>
              <w:t>依法缴纳社会保障资金的记录（提供投标截止日期之前12个月内任何一期缴费记录复印件并加盖公章）（自行编写无效）（依法不需要缴纳社会保障资金的供应商，须提供相应文件证明其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1" w:type="dxa"/>
            <w:vAlign w:val="center"/>
          </w:tcPr>
          <w:p>
            <w:pPr>
              <w:jc w:val="center"/>
              <w:rPr>
                <w:kern w:val="0"/>
                <w:szCs w:val="21"/>
              </w:rPr>
            </w:pPr>
            <w:r>
              <w:rPr>
                <w:rFonts w:hint="eastAsia"/>
                <w:kern w:val="0"/>
                <w:szCs w:val="21"/>
              </w:rPr>
              <w:t>8</w:t>
            </w:r>
          </w:p>
        </w:tc>
        <w:tc>
          <w:tcPr>
            <w:tcW w:w="8778" w:type="dxa"/>
            <w:gridSpan w:val="2"/>
            <w:vAlign w:val="center"/>
          </w:tcPr>
          <w:p>
            <w:pPr>
              <w:jc w:val="left"/>
              <w:rPr>
                <w:kern w:val="0"/>
                <w:szCs w:val="21"/>
              </w:rPr>
            </w:pPr>
            <w:r>
              <w:rPr>
                <w:rFonts w:hint="eastAsia"/>
                <w:kern w:val="0"/>
                <w:szCs w:val="21"/>
              </w:rPr>
              <w:t>参加政府采购活动前三年内，在经营活动中没有重大违法记录声明。（格式自拟，加盖公章）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01" w:type="dxa"/>
            <w:vAlign w:val="center"/>
          </w:tcPr>
          <w:p>
            <w:pPr>
              <w:jc w:val="center"/>
              <w:rPr>
                <w:kern w:val="0"/>
                <w:szCs w:val="21"/>
              </w:rPr>
            </w:pPr>
            <w:r>
              <w:rPr>
                <w:rFonts w:hint="eastAsia"/>
                <w:kern w:val="0"/>
                <w:szCs w:val="21"/>
              </w:rPr>
              <w:t>9</w:t>
            </w:r>
          </w:p>
        </w:tc>
        <w:tc>
          <w:tcPr>
            <w:tcW w:w="8778" w:type="dxa"/>
            <w:gridSpan w:val="2"/>
            <w:vAlign w:val="center"/>
          </w:tcPr>
          <w:p>
            <w:pPr>
              <w:jc w:val="left"/>
              <w:rPr>
                <w:kern w:val="0"/>
                <w:szCs w:val="21"/>
              </w:rPr>
            </w:pPr>
            <w:r>
              <w:rPr>
                <w:rFonts w:hint="eastAsia"/>
                <w:kern w:val="0"/>
                <w:szCs w:val="21"/>
              </w:rPr>
              <w:t>具有良好商业信誉和健全财务会计制度的财务状况的承诺（格式自拟，加盖公章）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001" w:type="dxa"/>
            <w:vAlign w:val="center"/>
          </w:tcPr>
          <w:p>
            <w:pPr>
              <w:jc w:val="center"/>
              <w:rPr>
                <w:kern w:val="0"/>
                <w:szCs w:val="21"/>
              </w:rPr>
            </w:pPr>
            <w:r>
              <w:rPr>
                <w:rFonts w:hint="eastAsia"/>
                <w:kern w:val="0"/>
                <w:szCs w:val="21"/>
              </w:rPr>
              <w:t>10</w:t>
            </w:r>
          </w:p>
        </w:tc>
        <w:tc>
          <w:tcPr>
            <w:tcW w:w="8778" w:type="dxa"/>
            <w:gridSpan w:val="2"/>
            <w:vAlign w:val="center"/>
          </w:tcPr>
          <w:p>
            <w:pPr>
              <w:jc w:val="left"/>
              <w:rPr>
                <w:kern w:val="0"/>
                <w:szCs w:val="21"/>
              </w:rPr>
            </w:pPr>
            <w:r>
              <w:rPr>
                <w:rFonts w:hint="eastAsia"/>
                <w:kern w:val="0"/>
                <w:szCs w:val="21"/>
              </w:rPr>
              <w:t>具有履行合同所必需的设备和专业技术能力的承诺（格式自拟，加盖公章）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001" w:type="dxa"/>
            <w:vAlign w:val="center"/>
          </w:tcPr>
          <w:p>
            <w:pPr>
              <w:jc w:val="center"/>
              <w:rPr>
                <w:kern w:val="0"/>
                <w:szCs w:val="21"/>
              </w:rPr>
            </w:pPr>
            <w:r>
              <w:rPr>
                <w:rFonts w:hint="eastAsia"/>
                <w:kern w:val="0"/>
                <w:szCs w:val="21"/>
              </w:rPr>
              <w:t>11</w:t>
            </w:r>
          </w:p>
        </w:tc>
        <w:tc>
          <w:tcPr>
            <w:tcW w:w="8778" w:type="dxa"/>
            <w:gridSpan w:val="2"/>
            <w:vAlign w:val="center"/>
          </w:tcPr>
          <w:p>
            <w:pPr>
              <w:jc w:val="left"/>
              <w:rPr>
                <w:kern w:val="0"/>
                <w:szCs w:val="21"/>
              </w:rPr>
            </w:pPr>
            <w:r>
              <w:rPr>
                <w:rFonts w:hint="eastAsia"/>
                <w:kern w:val="0"/>
                <w:szCs w:val="21"/>
              </w:rPr>
              <w:t>按本投标邀请的规定获取招标文件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001" w:type="dxa"/>
            <w:vAlign w:val="center"/>
          </w:tcPr>
          <w:p>
            <w:pPr>
              <w:jc w:val="center"/>
              <w:rPr>
                <w:kern w:val="0"/>
                <w:szCs w:val="21"/>
              </w:rPr>
            </w:pPr>
            <w:r>
              <w:rPr>
                <w:rFonts w:hint="eastAsia"/>
                <w:kern w:val="0"/>
                <w:szCs w:val="21"/>
              </w:rPr>
              <w:t>12</w:t>
            </w:r>
          </w:p>
        </w:tc>
        <w:tc>
          <w:tcPr>
            <w:tcW w:w="8778" w:type="dxa"/>
            <w:gridSpan w:val="2"/>
            <w:vAlign w:val="center"/>
          </w:tcPr>
          <w:p>
            <w:pPr>
              <w:jc w:val="left"/>
              <w:rPr>
                <w:kern w:val="0"/>
                <w:szCs w:val="21"/>
              </w:rPr>
            </w:pPr>
            <w:r>
              <w:rPr>
                <w:rFonts w:hint="eastAsia"/>
                <w:kern w:val="0"/>
                <w:szCs w:val="21"/>
              </w:rPr>
              <w:t>本项目不接受联合体投标/招标文件允许联合体投标时，提供了满足招标文件要求的联合体协议书。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1001" w:type="dxa"/>
            <w:vAlign w:val="center"/>
          </w:tcPr>
          <w:p>
            <w:pPr>
              <w:jc w:val="center"/>
              <w:rPr>
                <w:kern w:val="0"/>
                <w:szCs w:val="21"/>
              </w:rPr>
            </w:pPr>
            <w:r>
              <w:rPr>
                <w:rFonts w:hint="eastAsia"/>
                <w:kern w:val="0"/>
                <w:szCs w:val="21"/>
              </w:rPr>
              <w:t>13</w:t>
            </w:r>
          </w:p>
        </w:tc>
        <w:tc>
          <w:tcPr>
            <w:tcW w:w="8778" w:type="dxa"/>
            <w:gridSpan w:val="2"/>
            <w:vAlign w:val="center"/>
          </w:tcPr>
          <w:p>
            <w:pPr>
              <w:rPr>
                <w:kern w:val="0"/>
                <w:szCs w:val="21"/>
              </w:rPr>
            </w:pPr>
            <w:r>
              <w:rPr>
                <w:rFonts w:hint="eastAsia"/>
                <w:kern w:val="0"/>
                <w:szCs w:val="21"/>
              </w:rPr>
              <w:t>投标人未被列入</w:t>
            </w:r>
            <w:r>
              <w:rPr>
                <w:kern w:val="0"/>
                <w:szCs w:val="21"/>
              </w:rPr>
              <w:t>“</w:t>
            </w:r>
            <w:r>
              <w:rPr>
                <w:rFonts w:hint="eastAsia"/>
                <w:kern w:val="0"/>
                <w:szCs w:val="21"/>
              </w:rPr>
              <w:t>信用中国</w:t>
            </w:r>
            <w:r>
              <w:rPr>
                <w:kern w:val="0"/>
                <w:szCs w:val="21"/>
              </w:rPr>
              <w:t>”</w:t>
            </w:r>
            <w:r>
              <w:rPr>
                <w:rFonts w:hint="eastAsia"/>
                <w:kern w:val="0"/>
                <w:szCs w:val="21"/>
              </w:rPr>
              <w:t>网站</w:t>
            </w:r>
            <w:r>
              <w:rPr>
                <w:kern w:val="0"/>
                <w:szCs w:val="21"/>
              </w:rPr>
              <w:t>(www.creditchina.gov.cn)“</w:t>
            </w:r>
            <w:r>
              <w:rPr>
                <w:rFonts w:hint="eastAsia"/>
                <w:kern w:val="0"/>
                <w:szCs w:val="21"/>
              </w:rPr>
              <w:t>记录失信被执行人或重大税收违法案件当事人名单或政府采购严重违法失信行为</w:t>
            </w:r>
            <w:r>
              <w:rPr>
                <w:kern w:val="0"/>
                <w:szCs w:val="21"/>
              </w:rPr>
              <w:t>”</w:t>
            </w:r>
            <w:r>
              <w:rPr>
                <w:rFonts w:hint="eastAsia"/>
                <w:kern w:val="0"/>
                <w:szCs w:val="21"/>
              </w:rPr>
              <w:t>记录名单；不处于中国政府采购网</w:t>
            </w:r>
            <w:r>
              <w:rPr>
                <w:kern w:val="0"/>
                <w:szCs w:val="21"/>
              </w:rPr>
              <w:t>(www.ccgp.gov.cn)“</w:t>
            </w:r>
            <w:r>
              <w:rPr>
                <w:rFonts w:hint="eastAsia"/>
                <w:kern w:val="0"/>
                <w:szCs w:val="21"/>
              </w:rPr>
              <w:t>政府采购严重违法失信行为信息记录</w:t>
            </w:r>
            <w:r>
              <w:rPr>
                <w:kern w:val="0"/>
                <w:szCs w:val="21"/>
              </w:rPr>
              <w:t>”</w:t>
            </w:r>
            <w:r>
              <w:rPr>
                <w:rFonts w:hint="eastAsia"/>
                <w:kern w:val="0"/>
                <w:szCs w:val="21"/>
              </w:rPr>
              <w:t>中的禁止参加政府采购活动期间。（以采购单位于投标截止日当天在</w:t>
            </w:r>
            <w:r>
              <w:rPr>
                <w:kern w:val="0"/>
                <w:szCs w:val="21"/>
              </w:rPr>
              <w:t>“</w:t>
            </w:r>
            <w:r>
              <w:rPr>
                <w:rFonts w:hint="eastAsia"/>
                <w:kern w:val="0"/>
                <w:szCs w:val="21"/>
              </w:rPr>
              <w:t>信用中国</w:t>
            </w:r>
            <w:r>
              <w:rPr>
                <w:kern w:val="0"/>
                <w:szCs w:val="21"/>
              </w:rPr>
              <w:t>”</w:t>
            </w:r>
            <w:r>
              <w:rPr>
                <w:rFonts w:hint="eastAsia"/>
                <w:kern w:val="0"/>
                <w:szCs w:val="21"/>
              </w:rPr>
              <w:t>网站（</w:t>
            </w:r>
            <w:r>
              <w:rPr>
                <w:kern w:val="0"/>
                <w:szCs w:val="21"/>
              </w:rPr>
              <w:t>www.creditchina.gov.cn</w:t>
            </w:r>
            <w:r>
              <w:rPr>
                <w:rFonts w:hint="eastAsia"/>
                <w:kern w:val="0"/>
                <w:szCs w:val="21"/>
              </w:rPr>
              <w:t>）及中国政府采购网（</w:t>
            </w:r>
            <w:r>
              <w:rPr>
                <w:kern w:val="0"/>
                <w:szCs w:val="21"/>
              </w:rPr>
              <w:t>http://www.ccgp.gov.cn/</w:t>
            </w:r>
            <w:r>
              <w:rPr>
                <w:rFonts w:hint="eastAsia"/>
                <w:kern w:val="0"/>
                <w:szCs w:val="21"/>
              </w:rPr>
              <w:t>）查询结果为准，如相关失信记录已失效，投标人需提供相关证明资料）。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779" w:type="dxa"/>
            <w:gridSpan w:val="3"/>
            <w:vAlign w:val="center"/>
          </w:tcPr>
          <w:p>
            <w:pPr>
              <w:jc w:val="center"/>
              <w:rPr>
                <w:kern w:val="0"/>
                <w:szCs w:val="21"/>
              </w:rPr>
            </w:pPr>
            <w:r>
              <w:rPr>
                <w:rFonts w:hint="eastAsia"/>
                <w:kern w:val="0"/>
                <w:szCs w:val="21"/>
              </w:rPr>
              <w:t>结论</w:t>
            </w:r>
          </w:p>
        </w:tc>
      </w:tr>
    </w:tbl>
    <w:p>
      <w:pPr>
        <w:rPr>
          <w:kern w:val="0"/>
          <w:szCs w:val="21"/>
        </w:rPr>
      </w:pPr>
    </w:p>
    <w:p>
      <w:pPr>
        <w:rPr>
          <w:b/>
          <w:bCs/>
          <w:spacing w:val="4"/>
          <w:kern w:val="0"/>
          <w:szCs w:val="21"/>
        </w:rPr>
      </w:pPr>
      <w:r>
        <w:rPr>
          <w:rFonts w:hint="eastAsia"/>
          <w:b/>
          <w:bCs/>
          <w:spacing w:val="4"/>
          <w:kern w:val="0"/>
          <w:szCs w:val="21"/>
        </w:rPr>
        <w:t>六、符合性审查</w:t>
      </w:r>
    </w:p>
    <w:tbl>
      <w:tblPr>
        <w:tblStyle w:val="8"/>
        <w:tblW w:w="9781" w:type="dxa"/>
        <w:tblInd w:w="16" w:type="dxa"/>
        <w:tblLayout w:type="fixed"/>
        <w:tblCellMar>
          <w:top w:w="0" w:type="dxa"/>
          <w:left w:w="0" w:type="dxa"/>
          <w:bottom w:w="0" w:type="dxa"/>
          <w:right w:w="0" w:type="dxa"/>
        </w:tblCellMar>
      </w:tblPr>
      <w:tblGrid>
        <w:gridCol w:w="735"/>
        <w:gridCol w:w="9046"/>
      </w:tblGrid>
      <w:tr>
        <w:tblPrEx>
          <w:tblCellMar>
            <w:top w:w="0" w:type="dxa"/>
            <w:left w:w="0" w:type="dxa"/>
            <w:bottom w:w="0" w:type="dxa"/>
            <w:right w:w="0" w:type="dxa"/>
          </w:tblCellMar>
        </w:tblPrEx>
        <w:trPr>
          <w:cantSplit/>
          <w:trHeight w:val="405" w:hRule="atLeast"/>
        </w:trPr>
        <w:tc>
          <w:tcPr>
            <w:tcW w:w="735" w:type="dxa"/>
            <w:vMerge w:val="restart"/>
            <w:tcBorders>
              <w:top w:val="single" w:color="auto" w:sz="4" w:space="0"/>
              <w:left w:val="single" w:color="auto" w:sz="4" w:space="0"/>
              <w:bottom w:val="single" w:color="000000" w:sz="4" w:space="0"/>
              <w:right w:val="single" w:color="auto" w:sz="4" w:space="0"/>
            </w:tcBorders>
            <w:tcMar>
              <w:top w:w="16" w:type="dxa"/>
              <w:left w:w="16" w:type="dxa"/>
              <w:bottom w:w="0" w:type="dxa"/>
              <w:right w:w="16" w:type="dxa"/>
            </w:tcMar>
            <w:vAlign w:val="center"/>
          </w:tcPr>
          <w:p>
            <w:pPr>
              <w:spacing w:line="400" w:lineRule="exact"/>
              <w:ind w:right="-120" w:rightChars="-57"/>
              <w:jc w:val="center"/>
              <w:rPr>
                <w:kern w:val="0"/>
                <w:szCs w:val="21"/>
              </w:rPr>
            </w:pPr>
            <w:r>
              <w:rPr>
                <w:rFonts w:hint="eastAsia"/>
                <w:kern w:val="0"/>
                <w:szCs w:val="21"/>
              </w:rPr>
              <w:t>序号</w:t>
            </w:r>
          </w:p>
        </w:tc>
        <w:tc>
          <w:tcPr>
            <w:tcW w:w="9046" w:type="dxa"/>
            <w:vMerge w:val="restart"/>
            <w:tcBorders>
              <w:top w:val="single" w:color="auto" w:sz="4" w:space="0"/>
              <w:left w:val="single" w:color="auto" w:sz="4" w:space="0"/>
              <w:bottom w:val="single" w:color="000000" w:sz="4" w:space="0"/>
              <w:right w:val="single" w:color="000000" w:sz="4" w:space="0"/>
            </w:tcBorders>
            <w:vAlign w:val="center"/>
          </w:tcPr>
          <w:p>
            <w:pPr>
              <w:spacing w:line="400" w:lineRule="exact"/>
              <w:ind w:right="-120" w:rightChars="-57"/>
              <w:jc w:val="center"/>
              <w:rPr>
                <w:kern w:val="0"/>
                <w:szCs w:val="21"/>
              </w:rPr>
            </w:pPr>
            <w:r>
              <w:rPr>
                <w:rFonts w:hint="eastAsia"/>
                <w:kern w:val="0"/>
                <w:szCs w:val="21"/>
              </w:rPr>
              <w:t>评审内容</w:t>
            </w:r>
          </w:p>
        </w:tc>
      </w:tr>
      <w:tr>
        <w:tblPrEx>
          <w:tblCellMar>
            <w:top w:w="0" w:type="dxa"/>
            <w:left w:w="0" w:type="dxa"/>
            <w:bottom w:w="0" w:type="dxa"/>
            <w:right w:w="0" w:type="dxa"/>
          </w:tblCellMar>
        </w:tblPrEx>
        <w:trPr>
          <w:cantSplit/>
          <w:trHeight w:val="405" w:hRule="atLeast"/>
        </w:trPr>
        <w:tc>
          <w:tcPr>
            <w:tcW w:w="735" w:type="dxa"/>
            <w:vMerge w:val="continue"/>
            <w:tcBorders>
              <w:top w:val="single" w:color="auto" w:sz="4" w:space="0"/>
              <w:left w:val="single" w:color="auto" w:sz="4" w:space="0"/>
              <w:bottom w:val="single" w:color="000000" w:sz="4" w:space="0"/>
              <w:right w:val="single" w:color="auto" w:sz="4" w:space="0"/>
            </w:tcBorders>
            <w:vAlign w:val="center"/>
          </w:tcPr>
          <w:p>
            <w:pPr>
              <w:spacing w:line="400" w:lineRule="exact"/>
              <w:rPr>
                <w:kern w:val="0"/>
                <w:szCs w:val="21"/>
              </w:rPr>
            </w:pPr>
          </w:p>
        </w:tc>
        <w:tc>
          <w:tcPr>
            <w:tcW w:w="9046" w:type="dxa"/>
            <w:vMerge w:val="continue"/>
            <w:tcBorders>
              <w:top w:val="single" w:color="auto" w:sz="4" w:space="0"/>
              <w:left w:val="single" w:color="auto" w:sz="4" w:space="0"/>
              <w:bottom w:val="single" w:color="000000" w:sz="4" w:space="0"/>
              <w:right w:val="single" w:color="000000" w:sz="4" w:space="0"/>
            </w:tcBorders>
            <w:vAlign w:val="center"/>
          </w:tcPr>
          <w:p>
            <w:pPr>
              <w:spacing w:line="400" w:lineRule="exact"/>
              <w:rPr>
                <w:kern w:val="0"/>
                <w:szCs w:val="21"/>
              </w:rPr>
            </w:pPr>
          </w:p>
        </w:tc>
      </w:tr>
      <w:tr>
        <w:tblPrEx>
          <w:tblCellMar>
            <w:top w:w="0" w:type="dxa"/>
            <w:left w:w="0" w:type="dxa"/>
            <w:bottom w:w="0" w:type="dxa"/>
            <w:right w:w="0" w:type="dxa"/>
          </w:tblCellMar>
        </w:tblPrEx>
        <w:trPr>
          <w:trHeight w:val="454" w:hRule="atLeast"/>
        </w:trPr>
        <w:tc>
          <w:tcPr>
            <w:tcW w:w="735"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kern w:val="0"/>
                <w:szCs w:val="21"/>
              </w:rPr>
            </w:pPr>
            <w:r>
              <w:rPr>
                <w:rFonts w:hint="eastAsia"/>
                <w:kern w:val="0"/>
                <w:szCs w:val="21"/>
              </w:rPr>
              <w:t>1</w:t>
            </w:r>
          </w:p>
        </w:tc>
        <w:tc>
          <w:tcPr>
            <w:tcW w:w="9046" w:type="dxa"/>
            <w:tcBorders>
              <w:top w:val="nil"/>
              <w:left w:val="single" w:color="auto" w:sz="4" w:space="0"/>
              <w:bottom w:val="single" w:color="auto" w:sz="4" w:space="0"/>
              <w:right w:val="single" w:color="auto" w:sz="4" w:space="0"/>
            </w:tcBorders>
            <w:vAlign w:val="center"/>
          </w:tcPr>
          <w:p>
            <w:pPr>
              <w:pStyle w:val="12"/>
              <w:widowControl w:val="0"/>
              <w:pBdr>
                <w:bottom w:val="none" w:color="auto" w:sz="0" w:space="0"/>
                <w:right w:val="none" w:color="auto" w:sz="0" w:space="0"/>
              </w:pBdr>
              <w:spacing w:before="0" w:beforeAutospacing="0" w:after="0" w:afterAutospacing="0" w:line="400" w:lineRule="exact"/>
              <w:jc w:val="both"/>
              <w:rPr>
                <w:rFonts w:ascii="Times New Roman" w:hAnsi="Times New Roman"/>
              </w:rPr>
            </w:pPr>
            <w:r>
              <w:rPr>
                <w:rFonts w:hint="eastAsia" w:ascii="Times New Roman" w:hAnsi="Times New Roman"/>
              </w:rPr>
              <w:t>是否由法人代表或授权代表有效签署</w:t>
            </w:r>
          </w:p>
        </w:tc>
      </w:tr>
      <w:tr>
        <w:tblPrEx>
          <w:tblCellMar>
            <w:top w:w="0" w:type="dxa"/>
            <w:left w:w="0" w:type="dxa"/>
            <w:bottom w:w="0" w:type="dxa"/>
            <w:right w:w="0" w:type="dxa"/>
          </w:tblCellMar>
        </w:tblPrEx>
        <w:trPr>
          <w:trHeight w:val="454" w:hRule="atLeast"/>
        </w:trPr>
        <w:tc>
          <w:tcPr>
            <w:tcW w:w="735"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kern w:val="0"/>
                <w:szCs w:val="21"/>
              </w:rPr>
            </w:pPr>
            <w:r>
              <w:rPr>
                <w:rFonts w:hint="eastAsia"/>
                <w:kern w:val="0"/>
                <w:szCs w:val="21"/>
              </w:rPr>
              <w:t>2</w:t>
            </w:r>
          </w:p>
        </w:tc>
        <w:tc>
          <w:tcPr>
            <w:tcW w:w="9046" w:type="dxa"/>
            <w:tcBorders>
              <w:top w:val="nil"/>
              <w:left w:val="single" w:color="auto" w:sz="4" w:space="0"/>
              <w:bottom w:val="single" w:color="auto" w:sz="4" w:space="0"/>
              <w:right w:val="single" w:color="auto" w:sz="4" w:space="0"/>
            </w:tcBorders>
            <w:vAlign w:val="center"/>
          </w:tcPr>
          <w:p>
            <w:pPr>
              <w:pStyle w:val="12"/>
              <w:widowControl w:val="0"/>
              <w:pBdr>
                <w:bottom w:val="none" w:color="auto" w:sz="0" w:space="0"/>
                <w:right w:val="none" w:color="auto" w:sz="0" w:space="0"/>
              </w:pBdr>
              <w:spacing w:before="0" w:beforeAutospacing="0" w:after="0" w:afterAutospacing="0" w:line="400" w:lineRule="exact"/>
              <w:jc w:val="both"/>
              <w:rPr>
                <w:rFonts w:ascii="Times New Roman" w:hAnsi="Times New Roman"/>
              </w:rPr>
            </w:pPr>
            <w:r>
              <w:rPr>
                <w:rFonts w:hint="eastAsia" w:ascii="Times New Roman" w:hAnsi="Times New Roman"/>
              </w:rPr>
              <w:t>是否按招标文件规定提供法人代表授权书（如适用）</w:t>
            </w:r>
          </w:p>
        </w:tc>
      </w:tr>
      <w:tr>
        <w:tblPrEx>
          <w:tblCellMar>
            <w:top w:w="0" w:type="dxa"/>
            <w:left w:w="0" w:type="dxa"/>
            <w:bottom w:w="0" w:type="dxa"/>
            <w:right w:w="0" w:type="dxa"/>
          </w:tblCellMar>
        </w:tblPrEx>
        <w:trPr>
          <w:trHeight w:val="454" w:hRule="atLeast"/>
        </w:trPr>
        <w:tc>
          <w:tcPr>
            <w:tcW w:w="735" w:type="dxa"/>
            <w:tcBorders>
              <w:top w:val="single" w:color="auto" w:sz="4" w:space="0"/>
              <w:left w:val="single" w:color="auto" w:sz="4" w:space="0"/>
              <w:bottom w:val="single" w:color="000000" w:sz="4" w:space="0"/>
              <w:right w:val="single" w:color="auto" w:sz="4" w:space="0"/>
            </w:tcBorders>
            <w:vAlign w:val="center"/>
          </w:tcPr>
          <w:p>
            <w:pPr>
              <w:spacing w:line="400" w:lineRule="exact"/>
              <w:jc w:val="center"/>
              <w:rPr>
                <w:kern w:val="0"/>
                <w:szCs w:val="21"/>
              </w:rPr>
            </w:pPr>
            <w:r>
              <w:rPr>
                <w:rFonts w:hint="eastAsia"/>
                <w:kern w:val="0"/>
                <w:szCs w:val="21"/>
              </w:rPr>
              <w:t>3</w:t>
            </w:r>
          </w:p>
        </w:tc>
        <w:tc>
          <w:tcPr>
            <w:tcW w:w="9046" w:type="dxa"/>
            <w:tcBorders>
              <w:top w:val="single" w:color="auto" w:sz="4" w:space="0"/>
              <w:left w:val="single" w:color="auto" w:sz="4" w:space="0"/>
              <w:bottom w:val="single" w:color="000000" w:sz="4" w:space="0"/>
              <w:right w:val="single" w:color="000000" w:sz="4" w:space="0"/>
            </w:tcBorders>
            <w:vAlign w:val="center"/>
          </w:tcPr>
          <w:p>
            <w:pPr>
              <w:spacing w:line="400" w:lineRule="exact"/>
              <w:rPr>
                <w:kern w:val="0"/>
                <w:szCs w:val="21"/>
              </w:rPr>
            </w:pPr>
            <w:r>
              <w:rPr>
                <w:rFonts w:hint="eastAsia"/>
                <w:kern w:val="0"/>
                <w:szCs w:val="21"/>
              </w:rPr>
              <w:t>是否按招标文件规定要求密封、签署、盖章</w:t>
            </w:r>
          </w:p>
        </w:tc>
      </w:tr>
      <w:tr>
        <w:tblPrEx>
          <w:tblCellMar>
            <w:top w:w="0" w:type="dxa"/>
            <w:left w:w="0" w:type="dxa"/>
            <w:bottom w:w="0" w:type="dxa"/>
            <w:right w:w="0"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kern w:val="0"/>
                <w:szCs w:val="21"/>
              </w:rPr>
            </w:pPr>
            <w:r>
              <w:rPr>
                <w:rFonts w:hint="eastAsia"/>
                <w:kern w:val="0"/>
                <w:szCs w:val="21"/>
              </w:rPr>
              <w:t>4</w:t>
            </w:r>
          </w:p>
        </w:tc>
        <w:tc>
          <w:tcPr>
            <w:tcW w:w="9046" w:type="dxa"/>
            <w:tcBorders>
              <w:top w:val="single" w:color="auto" w:sz="4" w:space="0"/>
              <w:left w:val="single" w:color="auto" w:sz="4" w:space="0"/>
              <w:bottom w:val="single" w:color="auto" w:sz="4" w:space="0"/>
              <w:right w:val="single" w:color="000000" w:sz="4" w:space="0"/>
            </w:tcBorders>
            <w:vAlign w:val="center"/>
          </w:tcPr>
          <w:p>
            <w:pPr>
              <w:spacing w:line="400" w:lineRule="exact"/>
              <w:rPr>
                <w:kern w:val="0"/>
                <w:szCs w:val="21"/>
              </w:rPr>
            </w:pPr>
            <w:r>
              <w:rPr>
                <w:rFonts w:hint="eastAsia"/>
                <w:kern w:val="0"/>
                <w:szCs w:val="21"/>
              </w:rPr>
              <w:t>投标有效期是否满足招标文件（不少于150天）</w:t>
            </w:r>
          </w:p>
        </w:tc>
      </w:tr>
      <w:tr>
        <w:tblPrEx>
          <w:tblCellMar>
            <w:top w:w="0" w:type="dxa"/>
            <w:left w:w="0" w:type="dxa"/>
            <w:bottom w:w="0" w:type="dxa"/>
            <w:right w:w="0"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kern w:val="0"/>
                <w:szCs w:val="21"/>
              </w:rPr>
            </w:pPr>
            <w:r>
              <w:rPr>
                <w:rFonts w:hint="eastAsia"/>
                <w:kern w:val="0"/>
                <w:szCs w:val="21"/>
              </w:rPr>
              <w:t>5</w:t>
            </w:r>
          </w:p>
        </w:tc>
        <w:tc>
          <w:tcPr>
            <w:tcW w:w="9046" w:type="dxa"/>
            <w:tcBorders>
              <w:top w:val="single" w:color="auto" w:sz="4" w:space="0"/>
              <w:left w:val="single" w:color="auto" w:sz="4" w:space="0"/>
              <w:bottom w:val="single" w:color="auto" w:sz="4" w:space="0"/>
              <w:right w:val="single" w:color="000000" w:sz="4" w:space="0"/>
            </w:tcBorders>
            <w:vAlign w:val="center"/>
          </w:tcPr>
          <w:p>
            <w:pPr>
              <w:pStyle w:val="12"/>
              <w:widowControl w:val="0"/>
              <w:pBdr>
                <w:bottom w:val="none" w:color="auto" w:sz="0" w:space="0"/>
                <w:right w:val="none" w:color="auto" w:sz="0" w:space="0"/>
              </w:pBdr>
              <w:spacing w:before="0" w:beforeAutospacing="0" w:after="0" w:afterAutospacing="0" w:line="400" w:lineRule="exact"/>
              <w:jc w:val="both"/>
              <w:rPr>
                <w:rFonts w:ascii="Times New Roman" w:hAnsi="Times New Roman"/>
              </w:rPr>
            </w:pPr>
            <w:r>
              <w:rPr>
                <w:rFonts w:hint="eastAsia" w:ascii="Times New Roman" w:hAnsi="Times New Roman"/>
              </w:rPr>
              <w:t>是否按招标文件规定提交足额投标保证金（如有）</w:t>
            </w:r>
          </w:p>
        </w:tc>
      </w:tr>
      <w:tr>
        <w:tblPrEx>
          <w:tblCellMar>
            <w:top w:w="0" w:type="dxa"/>
            <w:left w:w="0" w:type="dxa"/>
            <w:bottom w:w="0" w:type="dxa"/>
            <w:right w:w="0"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kern w:val="0"/>
                <w:szCs w:val="21"/>
              </w:rPr>
            </w:pPr>
            <w:r>
              <w:rPr>
                <w:rFonts w:hint="eastAsia"/>
                <w:kern w:val="0"/>
                <w:szCs w:val="21"/>
              </w:rPr>
              <w:t>6</w:t>
            </w:r>
          </w:p>
        </w:tc>
        <w:tc>
          <w:tcPr>
            <w:tcW w:w="9046" w:type="dxa"/>
            <w:tcBorders>
              <w:top w:val="single" w:color="auto" w:sz="4" w:space="0"/>
              <w:left w:val="single" w:color="auto" w:sz="4" w:space="0"/>
              <w:bottom w:val="single" w:color="auto" w:sz="4" w:space="0"/>
              <w:right w:val="single" w:color="000000" w:sz="4" w:space="0"/>
            </w:tcBorders>
            <w:vAlign w:val="center"/>
          </w:tcPr>
          <w:p>
            <w:pPr>
              <w:pStyle w:val="12"/>
              <w:widowControl w:val="0"/>
              <w:pBdr>
                <w:bottom w:val="none" w:color="auto" w:sz="0" w:space="0"/>
                <w:right w:val="none" w:color="auto" w:sz="0" w:space="0"/>
              </w:pBdr>
              <w:spacing w:before="0" w:beforeAutospacing="0" w:after="0" w:afterAutospacing="0" w:line="400" w:lineRule="exact"/>
              <w:jc w:val="both"/>
              <w:rPr>
                <w:rFonts w:ascii="Times New Roman" w:hAnsi="Times New Roman"/>
              </w:rPr>
            </w:pPr>
            <w:r>
              <w:rPr>
                <w:rFonts w:hint="eastAsia" w:ascii="Times New Roman" w:hAnsi="Times New Roman"/>
              </w:rPr>
              <w:t>投标保证金的有效期是否满足招标文件（同投标有效期）（如有）</w:t>
            </w:r>
          </w:p>
        </w:tc>
      </w:tr>
      <w:tr>
        <w:tblPrEx>
          <w:tblCellMar>
            <w:top w:w="0" w:type="dxa"/>
            <w:left w:w="0" w:type="dxa"/>
            <w:bottom w:w="0" w:type="dxa"/>
            <w:right w:w="0"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kern w:val="0"/>
                <w:szCs w:val="21"/>
              </w:rPr>
            </w:pPr>
            <w:r>
              <w:rPr>
                <w:rFonts w:hint="eastAsia"/>
                <w:kern w:val="0"/>
                <w:szCs w:val="21"/>
              </w:rPr>
              <w:t>7</w:t>
            </w:r>
          </w:p>
        </w:tc>
        <w:tc>
          <w:tcPr>
            <w:tcW w:w="9046" w:type="dxa"/>
            <w:tcBorders>
              <w:top w:val="single" w:color="auto" w:sz="4" w:space="0"/>
              <w:left w:val="single" w:color="auto" w:sz="4" w:space="0"/>
              <w:bottom w:val="single" w:color="auto" w:sz="4" w:space="0"/>
              <w:right w:val="single" w:color="000000" w:sz="4" w:space="0"/>
            </w:tcBorders>
            <w:vAlign w:val="center"/>
          </w:tcPr>
          <w:p>
            <w:pPr>
              <w:spacing w:line="400" w:lineRule="exact"/>
              <w:rPr>
                <w:kern w:val="0"/>
                <w:szCs w:val="21"/>
              </w:rPr>
            </w:pPr>
            <w:r>
              <w:rPr>
                <w:kern w:val="0"/>
                <w:szCs w:val="21"/>
              </w:rPr>
              <w:t>投标</w:t>
            </w:r>
            <w:r>
              <w:rPr>
                <w:rFonts w:hint="eastAsia"/>
                <w:kern w:val="0"/>
                <w:szCs w:val="21"/>
              </w:rPr>
              <w:t>报价是否固定唯一，投标报价是否超过采购预算（设置最高限价的，以最高限价为准）</w:t>
            </w:r>
          </w:p>
        </w:tc>
      </w:tr>
      <w:tr>
        <w:tblPrEx>
          <w:tblCellMar>
            <w:top w:w="0" w:type="dxa"/>
            <w:left w:w="0" w:type="dxa"/>
            <w:bottom w:w="0" w:type="dxa"/>
            <w:right w:w="0"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kern w:val="0"/>
                <w:szCs w:val="21"/>
              </w:rPr>
            </w:pPr>
            <w:r>
              <w:rPr>
                <w:rFonts w:hint="eastAsia"/>
                <w:kern w:val="0"/>
                <w:szCs w:val="21"/>
              </w:rPr>
              <w:t>8</w:t>
            </w:r>
          </w:p>
        </w:tc>
        <w:tc>
          <w:tcPr>
            <w:tcW w:w="9046" w:type="dxa"/>
            <w:tcBorders>
              <w:top w:val="single" w:color="auto" w:sz="4" w:space="0"/>
              <w:left w:val="single" w:color="auto" w:sz="4" w:space="0"/>
              <w:bottom w:val="single" w:color="auto" w:sz="4" w:space="0"/>
              <w:right w:val="single" w:color="000000" w:sz="4" w:space="0"/>
            </w:tcBorders>
            <w:vAlign w:val="center"/>
          </w:tcPr>
          <w:p>
            <w:pPr>
              <w:spacing w:line="400" w:lineRule="exact"/>
              <w:rPr>
                <w:kern w:val="0"/>
                <w:szCs w:val="21"/>
              </w:rPr>
            </w:pPr>
            <w:r>
              <w:rPr>
                <w:rFonts w:hint="eastAsia"/>
                <w:kern w:val="0"/>
                <w:szCs w:val="21"/>
              </w:rPr>
              <w:t>招标文件中明确规定不接受进口产品的，投标人是否提供了进口产品</w:t>
            </w:r>
          </w:p>
        </w:tc>
      </w:tr>
      <w:tr>
        <w:tblPrEx>
          <w:tblCellMar>
            <w:top w:w="0" w:type="dxa"/>
            <w:left w:w="0" w:type="dxa"/>
            <w:bottom w:w="0" w:type="dxa"/>
            <w:right w:w="0"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kern w:val="0"/>
                <w:szCs w:val="21"/>
              </w:rPr>
            </w:pPr>
            <w:r>
              <w:rPr>
                <w:rFonts w:hint="eastAsia"/>
                <w:kern w:val="0"/>
                <w:szCs w:val="21"/>
              </w:rPr>
              <w:t>9</w:t>
            </w:r>
          </w:p>
        </w:tc>
        <w:tc>
          <w:tcPr>
            <w:tcW w:w="9046" w:type="dxa"/>
            <w:tcBorders>
              <w:top w:val="single" w:color="auto" w:sz="4" w:space="0"/>
              <w:left w:val="single" w:color="auto" w:sz="4" w:space="0"/>
              <w:bottom w:val="single" w:color="auto" w:sz="4" w:space="0"/>
              <w:right w:val="single" w:color="000000" w:sz="4" w:space="0"/>
            </w:tcBorders>
            <w:vAlign w:val="center"/>
          </w:tcPr>
          <w:p>
            <w:pPr>
              <w:spacing w:line="400" w:lineRule="exact"/>
              <w:rPr>
                <w:kern w:val="0"/>
                <w:szCs w:val="21"/>
              </w:rPr>
            </w:pPr>
            <w:r>
              <w:rPr>
                <w:rFonts w:hint="eastAsia"/>
                <w:kern w:val="0"/>
                <w:szCs w:val="21"/>
              </w:rPr>
              <w:t>是否按招标文件要求提供制造厂家的授权书（进口货物适用）</w:t>
            </w:r>
          </w:p>
        </w:tc>
      </w:tr>
      <w:tr>
        <w:tblPrEx>
          <w:tblCellMar>
            <w:top w:w="0" w:type="dxa"/>
            <w:left w:w="0" w:type="dxa"/>
            <w:bottom w:w="0" w:type="dxa"/>
            <w:right w:w="0"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kern w:val="0"/>
                <w:szCs w:val="21"/>
              </w:rPr>
            </w:pPr>
            <w:r>
              <w:rPr>
                <w:rFonts w:hint="eastAsia"/>
                <w:kern w:val="0"/>
                <w:szCs w:val="21"/>
              </w:rPr>
              <w:t>10</w:t>
            </w:r>
          </w:p>
        </w:tc>
        <w:tc>
          <w:tcPr>
            <w:tcW w:w="9046" w:type="dxa"/>
            <w:tcBorders>
              <w:top w:val="single" w:color="auto" w:sz="4" w:space="0"/>
              <w:left w:val="single" w:color="auto" w:sz="4" w:space="0"/>
              <w:bottom w:val="single" w:color="auto" w:sz="4" w:space="0"/>
              <w:right w:val="single" w:color="000000" w:sz="4" w:space="0"/>
            </w:tcBorders>
            <w:vAlign w:val="center"/>
          </w:tcPr>
          <w:p>
            <w:pPr>
              <w:spacing w:line="400" w:lineRule="exact"/>
              <w:rPr>
                <w:kern w:val="0"/>
                <w:szCs w:val="21"/>
              </w:rPr>
            </w:pPr>
            <w:r>
              <w:rPr>
                <w:kern w:val="0"/>
                <w:szCs w:val="21"/>
              </w:rPr>
              <w:t>如</w:t>
            </w:r>
            <w:r>
              <w:rPr>
                <w:rFonts w:hint="eastAsia"/>
                <w:kern w:val="0"/>
                <w:szCs w:val="21"/>
              </w:rPr>
              <w:t>评标委员会发现投标人的报价明显低于其他通过符合性审查投标人的投标报价，有可能影响产品质量或者不能诚信履约的，投标人是否按要求作书面说明并提供相关证明材料。投标人不能合理说明或不能提供相关证明材料的，评标委员会</w:t>
            </w:r>
            <w:r>
              <w:rPr>
                <w:kern w:val="0"/>
                <w:szCs w:val="21"/>
              </w:rPr>
              <w:t>将其作为无效投标处理</w:t>
            </w:r>
          </w:p>
        </w:tc>
      </w:tr>
      <w:tr>
        <w:tblPrEx>
          <w:tblCellMar>
            <w:top w:w="0" w:type="dxa"/>
            <w:left w:w="0" w:type="dxa"/>
            <w:bottom w:w="0" w:type="dxa"/>
            <w:right w:w="0"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kern w:val="0"/>
                <w:szCs w:val="21"/>
              </w:rPr>
            </w:pPr>
            <w:r>
              <w:rPr>
                <w:rFonts w:hint="eastAsia"/>
                <w:kern w:val="0"/>
                <w:szCs w:val="21"/>
              </w:rPr>
              <w:t>11</w:t>
            </w:r>
          </w:p>
        </w:tc>
        <w:tc>
          <w:tcPr>
            <w:tcW w:w="9046" w:type="dxa"/>
            <w:tcBorders>
              <w:top w:val="single" w:color="auto" w:sz="4" w:space="0"/>
              <w:left w:val="single" w:color="auto" w:sz="4" w:space="0"/>
              <w:bottom w:val="single" w:color="auto" w:sz="4" w:space="0"/>
              <w:right w:val="single" w:color="000000" w:sz="4" w:space="0"/>
            </w:tcBorders>
            <w:vAlign w:val="center"/>
          </w:tcPr>
          <w:p>
            <w:pPr>
              <w:spacing w:line="400" w:lineRule="exact"/>
              <w:rPr>
                <w:kern w:val="0"/>
                <w:szCs w:val="21"/>
              </w:rPr>
            </w:pPr>
            <w:r>
              <w:rPr>
                <w:rFonts w:hint="eastAsia"/>
                <w:kern w:val="0"/>
                <w:szCs w:val="21"/>
              </w:rPr>
              <w:t>是否符合招标文件规定的其它实质性要求（须满足带*条款）</w:t>
            </w:r>
          </w:p>
        </w:tc>
      </w:tr>
      <w:tr>
        <w:tblPrEx>
          <w:tblCellMar>
            <w:top w:w="0" w:type="dxa"/>
            <w:left w:w="0" w:type="dxa"/>
            <w:bottom w:w="0" w:type="dxa"/>
            <w:right w:w="0"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kern w:val="0"/>
                <w:szCs w:val="21"/>
              </w:rPr>
            </w:pPr>
            <w:r>
              <w:rPr>
                <w:rFonts w:hint="eastAsia"/>
                <w:kern w:val="0"/>
                <w:szCs w:val="21"/>
              </w:rPr>
              <w:t>12</w:t>
            </w:r>
          </w:p>
        </w:tc>
        <w:tc>
          <w:tcPr>
            <w:tcW w:w="9046" w:type="dxa"/>
            <w:tcBorders>
              <w:top w:val="single" w:color="auto" w:sz="4" w:space="0"/>
              <w:left w:val="single" w:color="auto" w:sz="4" w:space="0"/>
              <w:bottom w:val="single" w:color="auto" w:sz="4" w:space="0"/>
              <w:right w:val="single" w:color="000000" w:sz="4" w:space="0"/>
            </w:tcBorders>
            <w:vAlign w:val="center"/>
          </w:tcPr>
          <w:p>
            <w:pPr>
              <w:spacing w:line="400" w:lineRule="exact"/>
              <w:rPr>
                <w:kern w:val="0"/>
                <w:szCs w:val="21"/>
              </w:rPr>
            </w:pPr>
            <w:r>
              <w:rPr>
                <w:rFonts w:hint="eastAsia"/>
                <w:kern w:val="0"/>
                <w:szCs w:val="21"/>
              </w:rPr>
              <w:t>投标文件</w:t>
            </w:r>
            <w:r>
              <w:rPr>
                <w:kern w:val="0"/>
                <w:szCs w:val="21"/>
              </w:rPr>
              <w:t>是否</w:t>
            </w:r>
            <w:r>
              <w:rPr>
                <w:rFonts w:hint="eastAsia"/>
                <w:kern w:val="0"/>
                <w:szCs w:val="21"/>
              </w:rPr>
              <w:t>有招标文件中规定的其它无效投标条款</w:t>
            </w:r>
          </w:p>
        </w:tc>
      </w:tr>
      <w:tr>
        <w:tblPrEx>
          <w:tblCellMar>
            <w:top w:w="0" w:type="dxa"/>
            <w:left w:w="0" w:type="dxa"/>
            <w:bottom w:w="0" w:type="dxa"/>
            <w:right w:w="0" w:type="dxa"/>
          </w:tblCellMar>
        </w:tblPrEx>
        <w:trPr>
          <w:trHeight w:val="617" w:hRule="atLeast"/>
        </w:trPr>
        <w:tc>
          <w:tcPr>
            <w:tcW w:w="9781" w:type="dxa"/>
            <w:gridSpan w:val="2"/>
            <w:tcBorders>
              <w:top w:val="single" w:color="auto" w:sz="4" w:space="0"/>
              <w:left w:val="single" w:color="auto" w:sz="4" w:space="0"/>
              <w:bottom w:val="single" w:color="auto" w:sz="4" w:space="0"/>
              <w:right w:val="single" w:color="000000" w:sz="4" w:space="0"/>
            </w:tcBorders>
            <w:tcMar>
              <w:top w:w="16" w:type="dxa"/>
              <w:left w:w="16" w:type="dxa"/>
              <w:bottom w:w="0" w:type="dxa"/>
              <w:right w:w="16" w:type="dxa"/>
            </w:tcMar>
            <w:vAlign w:val="center"/>
          </w:tcPr>
          <w:p>
            <w:pPr>
              <w:spacing w:line="400" w:lineRule="exact"/>
              <w:jc w:val="center"/>
              <w:rPr>
                <w:kern w:val="0"/>
                <w:szCs w:val="21"/>
              </w:rPr>
            </w:pPr>
            <w:r>
              <w:rPr>
                <w:rFonts w:hint="eastAsia"/>
                <w:kern w:val="0"/>
                <w:szCs w:val="21"/>
              </w:rPr>
              <w:t>结    论</w:t>
            </w:r>
          </w:p>
        </w:tc>
      </w:tr>
    </w:tbl>
    <w:p>
      <w:pPr>
        <w:pStyle w:val="5"/>
        <w:snapToGrid w:val="0"/>
        <w:spacing w:after="0" w:line="276" w:lineRule="auto"/>
        <w:rPr>
          <w:kern w:val="2"/>
          <w:szCs w:val="21"/>
        </w:rPr>
      </w:pPr>
    </w:p>
    <w:p/>
    <w:p/>
    <w:p/>
    <w:p/>
    <w:p/>
    <w:p/>
    <w:p/>
    <w:p/>
    <w:p/>
    <w:p/>
    <w:p/>
    <w:p/>
    <w:p/>
    <w:p/>
    <w:p>
      <w:pPr>
        <w:spacing w:line="440" w:lineRule="exact"/>
        <w:jc w:val="center"/>
        <w:outlineLvl w:val="0"/>
        <w:rPr>
          <w:b/>
          <w:sz w:val="28"/>
          <w:szCs w:val="28"/>
        </w:rPr>
      </w:pPr>
      <w:bookmarkStart w:id="2" w:name="_Toc16497"/>
      <w:r>
        <w:rPr>
          <w:b/>
          <w:sz w:val="28"/>
          <w:szCs w:val="28"/>
        </w:rPr>
        <w:t>评分标准</w:t>
      </w:r>
      <w:bookmarkEnd w:id="2"/>
    </w:p>
    <w:p>
      <w:pPr>
        <w:widowControl/>
        <w:spacing w:line="360" w:lineRule="auto"/>
        <w:ind w:left="632" w:hanging="632" w:hangingChars="300"/>
        <w:rPr>
          <w:b/>
          <w:bCs/>
          <w:color w:val="000000"/>
          <w:kern w:val="0"/>
          <w:szCs w:val="21"/>
        </w:rPr>
      </w:pPr>
      <w:r>
        <w:rPr>
          <w:b/>
          <w:bCs/>
          <w:color w:val="000000"/>
          <w:kern w:val="0"/>
          <w:szCs w:val="21"/>
        </w:rPr>
        <w:t>（一）评标方法</w:t>
      </w:r>
    </w:p>
    <w:p>
      <w:pPr>
        <w:spacing w:line="360" w:lineRule="auto"/>
        <w:ind w:firstLine="422" w:firstLineChars="200"/>
        <w:rPr>
          <w:b/>
          <w:bCs/>
        </w:rPr>
      </w:pPr>
      <w:r>
        <w:rPr>
          <w:b/>
          <w:bCs/>
        </w:rPr>
        <w:t>本项目采用综合评分法。</w:t>
      </w:r>
    </w:p>
    <w:p>
      <w:pPr>
        <w:spacing w:line="360" w:lineRule="auto"/>
        <w:rPr>
          <w:b/>
          <w:bCs/>
          <w:color w:val="000000"/>
          <w:kern w:val="0"/>
          <w:szCs w:val="21"/>
        </w:rPr>
      </w:pPr>
      <w:r>
        <w:rPr>
          <w:b/>
          <w:bCs/>
          <w:color w:val="000000"/>
          <w:kern w:val="0"/>
          <w:szCs w:val="21"/>
        </w:rPr>
        <w:t>（二）评标标准</w:t>
      </w:r>
    </w:p>
    <w:p>
      <w:pPr>
        <w:spacing w:line="360" w:lineRule="auto"/>
        <w:ind w:firstLine="422" w:firstLineChars="200"/>
        <w:rPr>
          <w:szCs w:val="21"/>
        </w:rPr>
      </w:pPr>
      <w:r>
        <w:rPr>
          <w:b/>
          <w:bCs/>
        </w:rPr>
        <w:t>（1）</w:t>
      </w:r>
      <w:r>
        <w:rPr>
          <w:kern w:val="0"/>
          <w:szCs w:val="21"/>
        </w:rPr>
        <w:t>本项目总分为100分，</w:t>
      </w:r>
      <w:r>
        <w:rPr>
          <w:szCs w:val="21"/>
        </w:rPr>
        <w:t>小数点后保留2位。</w:t>
      </w:r>
      <w:r>
        <w:rPr>
          <w:kern w:val="0"/>
          <w:szCs w:val="21"/>
        </w:rPr>
        <w:t>按评审后得分由高到低顺序排列，得分相同的，按投标报价由低到高顺序排列，得分且投标报价相同的，按技术指标优劣顺序排列，评标委员会根据最终排名向采购人推荐中标候选供应商。最低投标价等任何单项因素的最优不是中标的必要条件</w:t>
      </w:r>
      <w:r>
        <w:rPr>
          <w:szCs w:val="21"/>
        </w:rPr>
        <w:t>。</w:t>
      </w:r>
    </w:p>
    <w:p>
      <w:pPr>
        <w:spacing w:line="360" w:lineRule="auto"/>
        <w:ind w:firstLine="420" w:firstLineChars="200"/>
        <w:rPr>
          <w:kern w:val="0"/>
          <w:szCs w:val="21"/>
        </w:rPr>
      </w:pPr>
      <w:r>
        <w:rPr>
          <w:kern w:val="0"/>
          <w:szCs w:val="21"/>
        </w:rPr>
        <w:t>具体打分方法如下</w:t>
      </w:r>
      <w:r>
        <w:rPr>
          <w:rFonts w:hint="eastAsia"/>
          <w:kern w:val="0"/>
          <w:szCs w:val="21"/>
        </w:rPr>
        <w:t>：</w:t>
      </w:r>
    </w:p>
    <w:tbl>
      <w:tblPr>
        <w:tblStyle w:val="8"/>
        <w:tblW w:w="516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03"/>
        <w:gridCol w:w="1223"/>
        <w:gridCol w:w="6267"/>
        <w:gridCol w:w="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blHeader/>
          <w:jc w:val="center"/>
        </w:trPr>
        <w:tc>
          <w:tcPr>
            <w:tcW w:w="343" w:type="pct"/>
            <w:shd w:val="clear" w:color="auto" w:fill="FFFFFF"/>
            <w:tcMar>
              <w:top w:w="0" w:type="dxa"/>
              <w:left w:w="108" w:type="dxa"/>
              <w:bottom w:w="0" w:type="dxa"/>
              <w:right w:w="108" w:type="dxa"/>
            </w:tcMar>
            <w:vAlign w:val="center"/>
          </w:tcPr>
          <w:p>
            <w:pPr>
              <w:widowControl/>
              <w:spacing w:line="360" w:lineRule="auto"/>
              <w:jc w:val="center"/>
              <w:rPr>
                <w:kern w:val="0"/>
                <w:szCs w:val="21"/>
              </w:rPr>
            </w:pPr>
            <w:r>
              <w:rPr>
                <w:kern w:val="0"/>
                <w:szCs w:val="21"/>
              </w:rPr>
              <w:t>序号</w:t>
            </w:r>
          </w:p>
        </w:tc>
        <w:tc>
          <w:tcPr>
            <w:tcW w:w="695" w:type="pct"/>
            <w:shd w:val="clear" w:color="auto" w:fill="FFFFFF"/>
            <w:tcMar>
              <w:top w:w="0" w:type="dxa"/>
              <w:left w:w="108" w:type="dxa"/>
              <w:bottom w:w="0" w:type="dxa"/>
              <w:right w:w="108" w:type="dxa"/>
            </w:tcMar>
            <w:vAlign w:val="center"/>
          </w:tcPr>
          <w:p>
            <w:pPr>
              <w:widowControl/>
              <w:spacing w:line="360" w:lineRule="auto"/>
              <w:jc w:val="center"/>
              <w:rPr>
                <w:kern w:val="0"/>
                <w:szCs w:val="21"/>
              </w:rPr>
            </w:pPr>
            <w:r>
              <w:rPr>
                <w:kern w:val="0"/>
                <w:szCs w:val="21"/>
              </w:rPr>
              <w:t>评分因素</w:t>
            </w:r>
          </w:p>
        </w:tc>
        <w:tc>
          <w:tcPr>
            <w:tcW w:w="3562" w:type="pct"/>
            <w:shd w:val="clear" w:color="auto" w:fill="FFFFFF"/>
            <w:tcMar>
              <w:top w:w="0" w:type="dxa"/>
              <w:left w:w="108" w:type="dxa"/>
              <w:bottom w:w="0" w:type="dxa"/>
              <w:right w:w="108" w:type="dxa"/>
            </w:tcMar>
            <w:vAlign w:val="center"/>
          </w:tcPr>
          <w:p>
            <w:pPr>
              <w:widowControl/>
              <w:spacing w:line="360" w:lineRule="auto"/>
              <w:jc w:val="center"/>
              <w:rPr>
                <w:kern w:val="0"/>
                <w:szCs w:val="21"/>
              </w:rPr>
            </w:pPr>
            <w:r>
              <w:rPr>
                <w:kern w:val="0"/>
                <w:szCs w:val="21"/>
              </w:rPr>
              <w:t>评 审 标 准</w:t>
            </w:r>
          </w:p>
        </w:tc>
        <w:tc>
          <w:tcPr>
            <w:tcW w:w="399" w:type="pct"/>
            <w:shd w:val="clear" w:color="auto" w:fill="FFFFFF"/>
            <w:tcMar>
              <w:top w:w="0" w:type="dxa"/>
              <w:left w:w="108" w:type="dxa"/>
              <w:bottom w:w="0" w:type="dxa"/>
              <w:right w:w="108" w:type="dxa"/>
            </w:tcMar>
            <w:vAlign w:val="center"/>
          </w:tcPr>
          <w:p>
            <w:pPr>
              <w:widowControl/>
              <w:spacing w:line="360" w:lineRule="auto"/>
              <w:jc w:val="center"/>
              <w:rPr>
                <w:kern w:val="0"/>
                <w:szCs w:val="21"/>
              </w:rPr>
            </w:pPr>
            <w:r>
              <w:rPr>
                <w:kern w:val="0"/>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343" w:type="pct"/>
            <w:shd w:val="clear" w:color="auto" w:fill="FFFFFF"/>
            <w:tcMar>
              <w:top w:w="0" w:type="dxa"/>
              <w:left w:w="108" w:type="dxa"/>
              <w:bottom w:w="0" w:type="dxa"/>
              <w:right w:w="108" w:type="dxa"/>
            </w:tcMar>
            <w:vAlign w:val="center"/>
          </w:tcPr>
          <w:p>
            <w:pPr>
              <w:widowControl/>
              <w:spacing w:line="360" w:lineRule="auto"/>
              <w:jc w:val="center"/>
              <w:rPr>
                <w:kern w:val="0"/>
                <w:szCs w:val="21"/>
              </w:rPr>
            </w:pPr>
            <w:r>
              <w:rPr>
                <w:kern w:val="0"/>
                <w:szCs w:val="21"/>
              </w:rPr>
              <w:t>1</w:t>
            </w:r>
          </w:p>
        </w:tc>
        <w:tc>
          <w:tcPr>
            <w:tcW w:w="695" w:type="pct"/>
            <w:shd w:val="clear" w:color="auto" w:fill="FFFFFF"/>
            <w:tcMar>
              <w:top w:w="0" w:type="dxa"/>
              <w:left w:w="108" w:type="dxa"/>
              <w:bottom w:w="0" w:type="dxa"/>
              <w:right w:w="108" w:type="dxa"/>
            </w:tcMar>
            <w:vAlign w:val="center"/>
          </w:tcPr>
          <w:p>
            <w:pPr>
              <w:widowControl/>
              <w:spacing w:line="360" w:lineRule="auto"/>
              <w:jc w:val="center"/>
              <w:rPr>
                <w:kern w:val="0"/>
                <w:szCs w:val="21"/>
              </w:rPr>
            </w:pPr>
            <w:r>
              <w:rPr>
                <w:kern w:val="0"/>
                <w:szCs w:val="21"/>
              </w:rPr>
              <w:t>价格</w:t>
            </w:r>
          </w:p>
        </w:tc>
        <w:tc>
          <w:tcPr>
            <w:tcW w:w="3562" w:type="pct"/>
            <w:shd w:val="clear" w:color="auto" w:fill="FFFFFF"/>
            <w:tcMar>
              <w:top w:w="0" w:type="dxa"/>
              <w:left w:w="108" w:type="dxa"/>
              <w:bottom w:w="0" w:type="dxa"/>
              <w:right w:w="108" w:type="dxa"/>
            </w:tcMar>
            <w:vAlign w:val="center"/>
          </w:tcPr>
          <w:p>
            <w:pPr>
              <w:spacing w:line="360" w:lineRule="auto"/>
              <w:rPr>
                <w:kern w:val="0"/>
                <w:szCs w:val="21"/>
              </w:rPr>
            </w:pPr>
            <w:r>
              <w:rPr>
                <w:kern w:val="0"/>
                <w:szCs w:val="21"/>
              </w:rPr>
              <w:t>本次招标，以进入详细评审的各供应商评标价的最低值为A值，A值为价格分的满分。其他供应商的价格分统一按照以下公式计算：供应商评标价得分=（A／该供应商评标价）×50。</w:t>
            </w:r>
          </w:p>
        </w:tc>
        <w:tc>
          <w:tcPr>
            <w:tcW w:w="399" w:type="pct"/>
            <w:shd w:val="clear" w:color="auto" w:fill="FFFFFF"/>
            <w:tcMar>
              <w:top w:w="0" w:type="dxa"/>
              <w:left w:w="108" w:type="dxa"/>
              <w:bottom w:w="0" w:type="dxa"/>
              <w:right w:w="108" w:type="dxa"/>
            </w:tcMar>
            <w:vAlign w:val="center"/>
          </w:tcPr>
          <w:p>
            <w:pPr>
              <w:widowControl/>
              <w:spacing w:line="360" w:lineRule="auto"/>
              <w:jc w:val="center"/>
              <w:rPr>
                <w:kern w:val="0"/>
                <w:szCs w:val="21"/>
              </w:rPr>
            </w:pPr>
            <w:r>
              <w:rPr>
                <w:kern w:val="0"/>
                <w:szCs w:val="21"/>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343" w:type="pct"/>
            <w:shd w:val="clear" w:color="auto" w:fill="FFFFFF"/>
            <w:tcMar>
              <w:top w:w="0" w:type="dxa"/>
              <w:left w:w="108" w:type="dxa"/>
              <w:bottom w:w="0" w:type="dxa"/>
              <w:right w:w="108" w:type="dxa"/>
            </w:tcMar>
            <w:vAlign w:val="center"/>
          </w:tcPr>
          <w:p>
            <w:pPr>
              <w:widowControl/>
              <w:spacing w:line="360" w:lineRule="auto"/>
              <w:jc w:val="center"/>
              <w:rPr>
                <w:kern w:val="0"/>
                <w:szCs w:val="21"/>
              </w:rPr>
            </w:pPr>
            <w:r>
              <w:rPr>
                <w:kern w:val="0"/>
                <w:szCs w:val="21"/>
              </w:rPr>
              <w:t>2</w:t>
            </w:r>
          </w:p>
        </w:tc>
        <w:tc>
          <w:tcPr>
            <w:tcW w:w="695" w:type="pct"/>
            <w:shd w:val="clear" w:color="auto" w:fill="FFFFFF"/>
            <w:tcMar>
              <w:top w:w="0" w:type="dxa"/>
              <w:left w:w="108" w:type="dxa"/>
              <w:bottom w:w="0" w:type="dxa"/>
              <w:right w:w="108" w:type="dxa"/>
            </w:tcMar>
            <w:vAlign w:val="center"/>
          </w:tcPr>
          <w:p>
            <w:pPr>
              <w:widowControl/>
              <w:spacing w:line="360" w:lineRule="auto"/>
              <w:jc w:val="center"/>
              <w:rPr>
                <w:kern w:val="0"/>
                <w:szCs w:val="21"/>
              </w:rPr>
            </w:pPr>
            <w:r>
              <w:rPr>
                <w:kern w:val="0"/>
                <w:szCs w:val="21"/>
              </w:rPr>
              <w:t>施工组织计划</w:t>
            </w:r>
          </w:p>
        </w:tc>
        <w:tc>
          <w:tcPr>
            <w:tcW w:w="3562" w:type="pct"/>
            <w:shd w:val="clear" w:color="auto" w:fill="FFFFFF"/>
            <w:tcMar>
              <w:top w:w="0" w:type="dxa"/>
              <w:left w:w="108" w:type="dxa"/>
              <w:bottom w:w="0" w:type="dxa"/>
              <w:right w:w="108" w:type="dxa"/>
            </w:tcMar>
            <w:vAlign w:val="center"/>
          </w:tcPr>
          <w:p>
            <w:pPr>
              <w:spacing w:line="360" w:lineRule="auto"/>
              <w:rPr>
                <w:color w:val="000000"/>
                <w:szCs w:val="21"/>
                <w:lang w:bidi="zh-CN"/>
              </w:rPr>
            </w:pPr>
            <w:r>
              <w:rPr>
                <w:rFonts w:hint="eastAsia"/>
                <w:color w:val="000000"/>
                <w:szCs w:val="21"/>
                <w:lang w:bidi="zh-CN"/>
              </w:rPr>
              <w:t>（1）</w:t>
            </w:r>
            <w:r>
              <w:rPr>
                <w:color w:val="000000"/>
                <w:szCs w:val="21"/>
                <w:lang w:bidi="zh-CN"/>
              </w:rPr>
              <w:t>总体概述：施工组织总体设想完整、方案针对性强得</w:t>
            </w:r>
            <w:r>
              <w:rPr>
                <w:rFonts w:hint="eastAsia"/>
                <w:color w:val="000000"/>
                <w:szCs w:val="21"/>
                <w:lang w:bidi="zh-CN"/>
              </w:rPr>
              <w:t>5</w:t>
            </w:r>
            <w:r>
              <w:rPr>
                <w:color w:val="000000"/>
                <w:szCs w:val="21"/>
                <w:lang w:bidi="zh-CN"/>
              </w:rPr>
              <w:t>分</w:t>
            </w:r>
            <w:r>
              <w:rPr>
                <w:rFonts w:hint="eastAsia"/>
                <w:color w:val="000000"/>
                <w:szCs w:val="21"/>
                <w:lang w:bidi="zh-CN"/>
              </w:rPr>
              <w:t>；</w:t>
            </w:r>
          </w:p>
          <w:p>
            <w:pPr>
              <w:spacing w:line="360" w:lineRule="auto"/>
              <w:rPr>
                <w:color w:val="000000"/>
                <w:szCs w:val="21"/>
                <w:lang w:bidi="zh-CN"/>
              </w:rPr>
            </w:pPr>
            <w:r>
              <w:rPr>
                <w:color w:val="000000"/>
                <w:szCs w:val="21"/>
                <w:lang w:bidi="zh-CN"/>
              </w:rPr>
              <w:t>施工组织总体设想较完整、方案针对性较强得</w:t>
            </w:r>
            <w:r>
              <w:rPr>
                <w:rFonts w:hint="eastAsia"/>
                <w:color w:val="000000"/>
                <w:szCs w:val="21"/>
                <w:lang w:bidi="zh-CN"/>
              </w:rPr>
              <w:t>3</w:t>
            </w:r>
            <w:r>
              <w:rPr>
                <w:color w:val="000000"/>
                <w:szCs w:val="21"/>
                <w:lang w:bidi="zh-CN"/>
              </w:rPr>
              <w:t>分</w:t>
            </w:r>
            <w:r>
              <w:rPr>
                <w:rFonts w:hint="eastAsia"/>
                <w:color w:val="000000"/>
                <w:szCs w:val="21"/>
                <w:lang w:bidi="zh-CN"/>
              </w:rPr>
              <w:t>；</w:t>
            </w:r>
          </w:p>
          <w:p>
            <w:pPr>
              <w:spacing w:line="360" w:lineRule="auto"/>
              <w:rPr>
                <w:color w:val="000000"/>
                <w:szCs w:val="21"/>
                <w:lang w:bidi="zh-CN"/>
              </w:rPr>
            </w:pPr>
            <w:r>
              <w:rPr>
                <w:color w:val="000000"/>
                <w:szCs w:val="21"/>
                <w:lang w:bidi="zh-CN"/>
              </w:rPr>
              <w:t>施工组织总体设想一般、方案针对性一般得</w:t>
            </w:r>
            <w:r>
              <w:rPr>
                <w:rFonts w:hint="eastAsia"/>
                <w:color w:val="000000"/>
                <w:szCs w:val="21"/>
                <w:lang w:bidi="zh-CN"/>
              </w:rPr>
              <w:t>1</w:t>
            </w:r>
            <w:r>
              <w:rPr>
                <w:color w:val="000000"/>
                <w:szCs w:val="21"/>
                <w:lang w:bidi="zh-CN"/>
              </w:rPr>
              <w:t>分</w:t>
            </w:r>
            <w:r>
              <w:rPr>
                <w:rFonts w:hint="eastAsia"/>
                <w:color w:val="000000"/>
                <w:szCs w:val="21"/>
                <w:lang w:bidi="zh-CN"/>
              </w:rPr>
              <w:t>；</w:t>
            </w:r>
          </w:p>
          <w:p>
            <w:pPr>
              <w:spacing w:line="360" w:lineRule="auto"/>
              <w:rPr>
                <w:color w:val="000000"/>
                <w:szCs w:val="21"/>
                <w:lang w:bidi="zh-CN"/>
              </w:rPr>
            </w:pPr>
            <w:r>
              <w:rPr>
                <w:rFonts w:hint="eastAsia"/>
                <w:color w:val="000000"/>
                <w:szCs w:val="21"/>
                <w:lang w:bidi="zh-CN"/>
              </w:rPr>
              <w:t>未提供</w:t>
            </w:r>
            <w:r>
              <w:rPr>
                <w:color w:val="000000"/>
                <w:szCs w:val="21"/>
                <w:lang w:bidi="zh-CN"/>
              </w:rPr>
              <w:t>不得分</w:t>
            </w:r>
            <w:r>
              <w:rPr>
                <w:rFonts w:hint="eastAsia"/>
                <w:color w:val="000000"/>
                <w:szCs w:val="21"/>
                <w:lang w:bidi="zh-CN"/>
              </w:rPr>
              <w:t>。</w:t>
            </w:r>
          </w:p>
          <w:p>
            <w:pPr>
              <w:spacing w:line="360" w:lineRule="auto"/>
              <w:rPr>
                <w:szCs w:val="21"/>
              </w:rPr>
            </w:pPr>
            <w:r>
              <w:rPr>
                <w:rFonts w:hint="eastAsia"/>
                <w:szCs w:val="21"/>
              </w:rPr>
              <w:t>（2）工期、</w:t>
            </w:r>
            <w:r>
              <w:rPr>
                <w:szCs w:val="21"/>
              </w:rPr>
              <w:t>进度控制点设置合理，</w:t>
            </w:r>
            <w:r>
              <w:rPr>
                <w:color w:val="000000"/>
                <w:szCs w:val="21"/>
                <w:lang w:bidi="zh-CN"/>
              </w:rPr>
              <w:t>内容完整</w:t>
            </w:r>
            <w:r>
              <w:rPr>
                <w:rFonts w:hint="eastAsia"/>
                <w:color w:val="000000"/>
                <w:szCs w:val="21"/>
                <w:lang w:bidi="zh-CN"/>
              </w:rPr>
              <w:t>、可实施性强</w:t>
            </w:r>
            <w:r>
              <w:rPr>
                <w:color w:val="000000"/>
                <w:szCs w:val="21"/>
                <w:lang w:bidi="zh-CN"/>
              </w:rPr>
              <w:t>得5分，内容基本完整、措施比较完善得</w:t>
            </w:r>
            <w:r>
              <w:rPr>
                <w:color w:val="000000"/>
                <w:szCs w:val="21"/>
              </w:rPr>
              <w:t>3</w:t>
            </w:r>
            <w:r>
              <w:rPr>
                <w:color w:val="000000"/>
                <w:szCs w:val="21"/>
                <w:lang w:bidi="zh-CN"/>
              </w:rPr>
              <w:t xml:space="preserve">分，内容不够完整、措施欠完善得 </w:t>
            </w:r>
            <w:r>
              <w:rPr>
                <w:color w:val="000000"/>
                <w:szCs w:val="21"/>
              </w:rPr>
              <w:t>1</w:t>
            </w:r>
            <w:r>
              <w:rPr>
                <w:color w:val="000000"/>
                <w:szCs w:val="21"/>
                <w:lang w:bidi="zh-CN"/>
              </w:rPr>
              <w:t>分，</w:t>
            </w:r>
            <w:r>
              <w:rPr>
                <w:rFonts w:hint="eastAsia"/>
                <w:color w:val="000000"/>
                <w:szCs w:val="21"/>
                <w:lang w:bidi="zh-CN"/>
              </w:rPr>
              <w:t>未提供</w:t>
            </w:r>
            <w:r>
              <w:rPr>
                <w:color w:val="000000"/>
                <w:szCs w:val="21"/>
                <w:lang w:bidi="zh-CN"/>
              </w:rPr>
              <w:t>不得分</w:t>
            </w:r>
            <w:r>
              <w:rPr>
                <w:rFonts w:hint="eastAsia"/>
                <w:color w:val="000000"/>
                <w:szCs w:val="21"/>
                <w:lang w:bidi="zh-CN"/>
              </w:rPr>
              <w:t>。</w:t>
            </w:r>
          </w:p>
          <w:p>
            <w:pPr>
              <w:spacing w:line="360" w:lineRule="auto"/>
              <w:rPr>
                <w:szCs w:val="21"/>
              </w:rPr>
            </w:pPr>
            <w:r>
              <w:rPr>
                <w:szCs w:val="21"/>
              </w:rPr>
              <w:t>（</w:t>
            </w:r>
            <w:r>
              <w:rPr>
                <w:rFonts w:hint="eastAsia"/>
                <w:szCs w:val="21"/>
              </w:rPr>
              <w:t>3</w:t>
            </w:r>
            <w:r>
              <w:rPr>
                <w:szCs w:val="21"/>
              </w:rPr>
              <w:t>）质量安全保证体系可靠，</w:t>
            </w:r>
            <w:r>
              <w:rPr>
                <w:color w:val="000000"/>
                <w:szCs w:val="21"/>
                <w:lang w:bidi="zh-CN"/>
              </w:rPr>
              <w:t>内容完整</w:t>
            </w:r>
            <w:r>
              <w:rPr>
                <w:rFonts w:hint="eastAsia"/>
                <w:color w:val="000000"/>
                <w:szCs w:val="21"/>
                <w:lang w:bidi="zh-CN"/>
              </w:rPr>
              <w:t>、可实施性强</w:t>
            </w:r>
            <w:r>
              <w:rPr>
                <w:color w:val="000000"/>
                <w:szCs w:val="21"/>
                <w:lang w:bidi="zh-CN"/>
              </w:rPr>
              <w:t>得5分，内容基本完整、措施比较完善得</w:t>
            </w:r>
            <w:r>
              <w:rPr>
                <w:color w:val="000000"/>
                <w:szCs w:val="21"/>
              </w:rPr>
              <w:t>3</w:t>
            </w:r>
            <w:r>
              <w:rPr>
                <w:color w:val="000000"/>
                <w:szCs w:val="21"/>
                <w:lang w:bidi="zh-CN"/>
              </w:rPr>
              <w:t>分，内容不够完整、措施欠完善得</w:t>
            </w:r>
            <w:r>
              <w:rPr>
                <w:color w:val="000000"/>
                <w:szCs w:val="21"/>
              </w:rPr>
              <w:t>1</w:t>
            </w:r>
            <w:r>
              <w:rPr>
                <w:color w:val="000000"/>
                <w:szCs w:val="21"/>
                <w:lang w:bidi="zh-CN"/>
              </w:rPr>
              <w:t>分，</w:t>
            </w:r>
            <w:r>
              <w:rPr>
                <w:rFonts w:hint="eastAsia"/>
                <w:color w:val="000000"/>
                <w:szCs w:val="21"/>
                <w:lang w:bidi="zh-CN"/>
              </w:rPr>
              <w:t>未提供</w:t>
            </w:r>
            <w:r>
              <w:rPr>
                <w:color w:val="000000"/>
                <w:szCs w:val="21"/>
                <w:lang w:bidi="zh-CN"/>
              </w:rPr>
              <w:t>不得分</w:t>
            </w:r>
            <w:r>
              <w:rPr>
                <w:rFonts w:hint="eastAsia"/>
                <w:color w:val="000000"/>
                <w:szCs w:val="21"/>
                <w:lang w:bidi="zh-CN"/>
              </w:rPr>
              <w:t>。</w:t>
            </w:r>
          </w:p>
          <w:p>
            <w:pPr>
              <w:pStyle w:val="13"/>
              <w:spacing w:line="360" w:lineRule="auto"/>
              <w:ind w:firstLine="0" w:firstLineChars="0"/>
              <w:rPr>
                <w:szCs w:val="21"/>
              </w:rPr>
            </w:pPr>
            <w:r>
              <w:rPr>
                <w:szCs w:val="21"/>
              </w:rPr>
              <w:t>（</w:t>
            </w:r>
            <w:r>
              <w:rPr>
                <w:rFonts w:hint="eastAsia"/>
                <w:szCs w:val="21"/>
              </w:rPr>
              <w:t>4</w:t>
            </w:r>
            <w:r>
              <w:rPr>
                <w:szCs w:val="21"/>
              </w:rPr>
              <w:t>）安全文明施工及环境保护措施合理、针对性强得</w:t>
            </w:r>
            <w:r>
              <w:rPr>
                <w:rFonts w:hint="eastAsia"/>
                <w:szCs w:val="21"/>
              </w:rPr>
              <w:t>5</w:t>
            </w:r>
            <w:r>
              <w:rPr>
                <w:szCs w:val="21"/>
              </w:rPr>
              <w:t>分</w:t>
            </w:r>
            <w:r>
              <w:rPr>
                <w:rFonts w:hint="eastAsia"/>
                <w:szCs w:val="21"/>
              </w:rPr>
              <w:t>；</w:t>
            </w:r>
          </w:p>
          <w:p>
            <w:pPr>
              <w:pStyle w:val="13"/>
              <w:spacing w:line="360" w:lineRule="auto"/>
              <w:ind w:firstLine="0" w:firstLineChars="0"/>
              <w:rPr>
                <w:szCs w:val="21"/>
              </w:rPr>
            </w:pPr>
            <w:r>
              <w:rPr>
                <w:szCs w:val="21"/>
              </w:rPr>
              <w:t>安全文明施工及环境保护措施较合理、针对性较强得</w:t>
            </w:r>
            <w:r>
              <w:rPr>
                <w:rFonts w:hint="eastAsia"/>
                <w:szCs w:val="21"/>
              </w:rPr>
              <w:t>3</w:t>
            </w:r>
            <w:r>
              <w:rPr>
                <w:szCs w:val="21"/>
              </w:rPr>
              <w:t>分</w:t>
            </w:r>
            <w:r>
              <w:rPr>
                <w:rFonts w:hint="eastAsia"/>
                <w:szCs w:val="21"/>
              </w:rPr>
              <w:t>；</w:t>
            </w:r>
          </w:p>
          <w:p>
            <w:pPr>
              <w:pStyle w:val="13"/>
              <w:spacing w:line="360" w:lineRule="auto"/>
              <w:ind w:firstLine="0" w:firstLineChars="0"/>
              <w:rPr>
                <w:szCs w:val="21"/>
              </w:rPr>
            </w:pPr>
            <w:r>
              <w:rPr>
                <w:szCs w:val="21"/>
              </w:rPr>
              <w:t>安全文明施工及环境保护措施一般、针对性一般得</w:t>
            </w:r>
            <w:r>
              <w:rPr>
                <w:rFonts w:hint="eastAsia"/>
                <w:szCs w:val="21"/>
              </w:rPr>
              <w:t>1</w:t>
            </w:r>
            <w:r>
              <w:rPr>
                <w:szCs w:val="21"/>
              </w:rPr>
              <w:t>分</w:t>
            </w:r>
            <w:r>
              <w:rPr>
                <w:rFonts w:hint="eastAsia"/>
                <w:szCs w:val="21"/>
              </w:rPr>
              <w:t>；</w:t>
            </w:r>
          </w:p>
          <w:p>
            <w:pPr>
              <w:pStyle w:val="13"/>
              <w:spacing w:line="360" w:lineRule="auto"/>
              <w:ind w:firstLine="0" w:firstLineChars="0"/>
              <w:rPr>
                <w:color w:val="000000"/>
                <w:szCs w:val="21"/>
                <w:lang w:bidi="zh-CN"/>
              </w:rPr>
            </w:pPr>
            <w:r>
              <w:rPr>
                <w:rFonts w:hint="eastAsia"/>
                <w:color w:val="000000"/>
                <w:szCs w:val="21"/>
                <w:lang w:bidi="zh-CN"/>
              </w:rPr>
              <w:t>未提供</w:t>
            </w:r>
            <w:r>
              <w:rPr>
                <w:color w:val="000000"/>
                <w:szCs w:val="21"/>
                <w:lang w:bidi="zh-CN"/>
              </w:rPr>
              <w:t>不得分。</w:t>
            </w:r>
          </w:p>
          <w:p>
            <w:pPr>
              <w:pStyle w:val="13"/>
              <w:spacing w:line="360" w:lineRule="auto"/>
              <w:ind w:firstLine="0" w:firstLineChars="0"/>
              <w:rPr>
                <w:color w:val="000000"/>
                <w:szCs w:val="21"/>
                <w:lang w:bidi="zh-CN"/>
              </w:rPr>
            </w:pPr>
            <w:r>
              <w:rPr>
                <w:rFonts w:hint="eastAsia"/>
                <w:color w:val="000000"/>
                <w:szCs w:val="21"/>
                <w:lang w:bidi="zh-CN"/>
              </w:rPr>
              <w:t>（5）</w:t>
            </w:r>
            <w:r>
              <w:rPr>
                <w:color w:val="000000"/>
                <w:szCs w:val="21"/>
                <w:lang w:bidi="zh-CN"/>
              </w:rPr>
              <w:t>关键施工技术、工艺及工程项目实施的重点、难点和解决方案合理、针对性强得</w:t>
            </w:r>
            <w:r>
              <w:rPr>
                <w:rFonts w:hint="eastAsia"/>
                <w:color w:val="000000"/>
                <w:szCs w:val="21"/>
                <w:lang w:bidi="zh-CN"/>
              </w:rPr>
              <w:t>5</w:t>
            </w:r>
            <w:r>
              <w:rPr>
                <w:color w:val="000000"/>
                <w:szCs w:val="21"/>
                <w:lang w:bidi="zh-CN"/>
              </w:rPr>
              <w:t>分</w:t>
            </w:r>
            <w:r>
              <w:rPr>
                <w:rFonts w:hint="eastAsia"/>
                <w:color w:val="000000"/>
                <w:szCs w:val="21"/>
                <w:lang w:bidi="zh-CN"/>
              </w:rPr>
              <w:t>；</w:t>
            </w:r>
          </w:p>
          <w:p>
            <w:pPr>
              <w:pStyle w:val="13"/>
              <w:spacing w:line="360" w:lineRule="auto"/>
              <w:ind w:firstLine="0" w:firstLineChars="0"/>
              <w:rPr>
                <w:color w:val="000000"/>
                <w:szCs w:val="21"/>
                <w:lang w:bidi="zh-CN"/>
              </w:rPr>
            </w:pPr>
            <w:r>
              <w:rPr>
                <w:color w:val="000000"/>
                <w:szCs w:val="21"/>
                <w:lang w:bidi="zh-CN"/>
              </w:rPr>
              <w:t>关键施工技术、工艺及工程项目实施的重点、难点和解决方案较合理、针对性较强得</w:t>
            </w:r>
            <w:r>
              <w:rPr>
                <w:rFonts w:hint="eastAsia"/>
                <w:color w:val="000000"/>
                <w:szCs w:val="21"/>
                <w:lang w:bidi="zh-CN"/>
              </w:rPr>
              <w:t>3</w:t>
            </w:r>
            <w:r>
              <w:rPr>
                <w:color w:val="000000"/>
                <w:szCs w:val="21"/>
                <w:lang w:bidi="zh-CN"/>
              </w:rPr>
              <w:t>分</w:t>
            </w:r>
            <w:r>
              <w:rPr>
                <w:rFonts w:hint="eastAsia"/>
                <w:color w:val="000000"/>
                <w:szCs w:val="21"/>
                <w:lang w:bidi="zh-CN"/>
              </w:rPr>
              <w:t>；</w:t>
            </w:r>
          </w:p>
          <w:p>
            <w:pPr>
              <w:pStyle w:val="13"/>
              <w:spacing w:line="360" w:lineRule="auto"/>
              <w:ind w:firstLine="0" w:firstLineChars="0"/>
              <w:rPr>
                <w:color w:val="000000"/>
                <w:szCs w:val="21"/>
                <w:lang w:bidi="zh-CN"/>
              </w:rPr>
            </w:pPr>
            <w:r>
              <w:rPr>
                <w:color w:val="000000"/>
                <w:szCs w:val="21"/>
                <w:lang w:bidi="zh-CN"/>
              </w:rPr>
              <w:t>关键施工技术、工艺及工程项目实施的重点、难点和解决方案一般、针对性一般得</w:t>
            </w:r>
            <w:r>
              <w:rPr>
                <w:rFonts w:hint="eastAsia"/>
                <w:color w:val="000000"/>
                <w:szCs w:val="21"/>
                <w:lang w:bidi="zh-CN"/>
              </w:rPr>
              <w:t>1</w:t>
            </w:r>
            <w:r>
              <w:rPr>
                <w:color w:val="000000"/>
                <w:szCs w:val="21"/>
                <w:lang w:bidi="zh-CN"/>
              </w:rPr>
              <w:t>分</w:t>
            </w:r>
            <w:r>
              <w:rPr>
                <w:rFonts w:hint="eastAsia"/>
                <w:color w:val="000000"/>
                <w:szCs w:val="21"/>
                <w:lang w:bidi="zh-CN"/>
              </w:rPr>
              <w:t>；</w:t>
            </w:r>
          </w:p>
          <w:p>
            <w:pPr>
              <w:pStyle w:val="13"/>
              <w:spacing w:line="360" w:lineRule="auto"/>
              <w:ind w:firstLine="0" w:firstLineChars="0"/>
              <w:rPr>
                <w:szCs w:val="21"/>
              </w:rPr>
            </w:pPr>
            <w:r>
              <w:rPr>
                <w:rFonts w:hint="eastAsia"/>
                <w:color w:val="000000"/>
                <w:szCs w:val="21"/>
                <w:lang w:bidi="zh-CN"/>
              </w:rPr>
              <w:t>未提供</w:t>
            </w:r>
            <w:r>
              <w:rPr>
                <w:color w:val="000000"/>
                <w:szCs w:val="21"/>
                <w:lang w:bidi="zh-CN"/>
              </w:rPr>
              <w:t>不得分</w:t>
            </w:r>
            <w:r>
              <w:rPr>
                <w:rFonts w:hint="eastAsia"/>
                <w:color w:val="000000"/>
                <w:szCs w:val="21"/>
                <w:lang w:bidi="zh-CN"/>
              </w:rPr>
              <w:t>。</w:t>
            </w:r>
          </w:p>
        </w:tc>
        <w:tc>
          <w:tcPr>
            <w:tcW w:w="399" w:type="pct"/>
            <w:shd w:val="clear" w:color="auto" w:fill="FFFFFF"/>
            <w:tcMar>
              <w:top w:w="0" w:type="dxa"/>
              <w:left w:w="108" w:type="dxa"/>
              <w:bottom w:w="0" w:type="dxa"/>
              <w:right w:w="108" w:type="dxa"/>
            </w:tcMar>
            <w:vAlign w:val="center"/>
          </w:tcPr>
          <w:p>
            <w:pPr>
              <w:widowControl/>
              <w:spacing w:line="360" w:lineRule="auto"/>
              <w:jc w:val="center"/>
              <w:rPr>
                <w:kern w:val="0"/>
                <w:szCs w:val="21"/>
              </w:rPr>
            </w:pPr>
            <w:r>
              <w:rPr>
                <w:rFonts w:hint="eastAsia"/>
                <w:kern w:val="0"/>
                <w:szCs w:val="21"/>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00" w:hRule="atLeast"/>
          <w:jc w:val="center"/>
        </w:trPr>
        <w:tc>
          <w:tcPr>
            <w:tcW w:w="343" w:type="pct"/>
            <w:shd w:val="clear" w:color="auto" w:fill="FFFFFF"/>
            <w:tcMar>
              <w:top w:w="0" w:type="dxa"/>
              <w:left w:w="108" w:type="dxa"/>
              <w:bottom w:w="0" w:type="dxa"/>
              <w:right w:w="108" w:type="dxa"/>
            </w:tcMar>
            <w:vAlign w:val="center"/>
          </w:tcPr>
          <w:p>
            <w:pPr>
              <w:spacing w:line="360" w:lineRule="auto"/>
              <w:jc w:val="center"/>
              <w:rPr>
                <w:kern w:val="0"/>
                <w:szCs w:val="21"/>
              </w:rPr>
            </w:pPr>
            <w:r>
              <w:rPr>
                <w:kern w:val="0"/>
                <w:szCs w:val="21"/>
              </w:rPr>
              <w:t>3</w:t>
            </w:r>
          </w:p>
        </w:tc>
        <w:tc>
          <w:tcPr>
            <w:tcW w:w="695" w:type="pct"/>
            <w:shd w:val="clear" w:color="auto" w:fill="FFFFFF"/>
            <w:tcMar>
              <w:top w:w="0" w:type="dxa"/>
              <w:left w:w="108" w:type="dxa"/>
              <w:bottom w:w="0" w:type="dxa"/>
              <w:right w:w="108" w:type="dxa"/>
            </w:tcMar>
            <w:vAlign w:val="center"/>
          </w:tcPr>
          <w:p>
            <w:pPr>
              <w:widowControl/>
              <w:spacing w:line="360" w:lineRule="auto"/>
              <w:jc w:val="center"/>
              <w:rPr>
                <w:kern w:val="0"/>
                <w:szCs w:val="21"/>
              </w:rPr>
            </w:pPr>
            <w:r>
              <w:rPr>
                <w:kern w:val="0"/>
                <w:szCs w:val="21"/>
              </w:rPr>
              <w:t>业绩</w:t>
            </w:r>
          </w:p>
        </w:tc>
        <w:tc>
          <w:tcPr>
            <w:tcW w:w="3562" w:type="pct"/>
            <w:shd w:val="clear" w:color="auto" w:fill="FFFFFF"/>
            <w:tcMar>
              <w:top w:w="0" w:type="dxa"/>
              <w:left w:w="108" w:type="dxa"/>
              <w:bottom w:w="0" w:type="dxa"/>
              <w:right w:w="108" w:type="dxa"/>
            </w:tcMar>
          </w:tcPr>
          <w:p>
            <w:pPr>
              <w:spacing w:line="360" w:lineRule="auto"/>
              <w:rPr>
                <w:kern w:val="0"/>
                <w:szCs w:val="21"/>
              </w:rPr>
            </w:pPr>
            <w:r>
              <w:rPr>
                <w:kern w:val="0"/>
                <w:szCs w:val="21"/>
              </w:rPr>
              <w:t>2020年</w:t>
            </w:r>
            <w:r>
              <w:rPr>
                <w:rFonts w:hint="eastAsia"/>
                <w:kern w:val="0"/>
                <w:szCs w:val="21"/>
              </w:rPr>
              <w:t>10</w:t>
            </w:r>
            <w:r>
              <w:rPr>
                <w:kern w:val="0"/>
                <w:szCs w:val="21"/>
              </w:rPr>
              <w:t>月1日</w:t>
            </w:r>
            <w:r>
              <w:rPr>
                <w:szCs w:val="21"/>
              </w:rPr>
              <w:t>（时间以竣工验收证明时间为准）</w:t>
            </w:r>
            <w:r>
              <w:rPr>
                <w:kern w:val="0"/>
                <w:szCs w:val="21"/>
              </w:rPr>
              <w:t>以来供应商承担过类似工程业绩，每提供一个得2分，最高得10分。</w:t>
            </w:r>
            <w:r>
              <w:rPr>
                <w:b/>
                <w:bCs/>
                <w:kern w:val="0"/>
                <w:szCs w:val="21"/>
              </w:rPr>
              <w:t>（</w:t>
            </w:r>
            <w:r>
              <w:rPr>
                <w:b/>
                <w:bCs/>
                <w:szCs w:val="21"/>
              </w:rPr>
              <w:t>须提供采购合同及竣工验收报告复印件并加盖公章，缺一不可</w:t>
            </w:r>
            <w:r>
              <w:rPr>
                <w:rFonts w:hint="eastAsia"/>
                <w:b/>
                <w:bCs/>
                <w:szCs w:val="21"/>
              </w:rPr>
              <w:t>，同一单位业绩不重复计算</w:t>
            </w:r>
            <w:r>
              <w:rPr>
                <w:b/>
                <w:bCs/>
                <w:szCs w:val="21"/>
              </w:rPr>
              <w:t>）</w:t>
            </w:r>
            <w:r>
              <w:rPr>
                <w:szCs w:val="21"/>
              </w:rPr>
              <w:t>。</w:t>
            </w:r>
          </w:p>
        </w:tc>
        <w:tc>
          <w:tcPr>
            <w:tcW w:w="399" w:type="pct"/>
            <w:shd w:val="clear" w:color="auto" w:fill="FFFFFF"/>
            <w:tcMar>
              <w:top w:w="0" w:type="dxa"/>
              <w:left w:w="108" w:type="dxa"/>
              <w:bottom w:w="0" w:type="dxa"/>
              <w:right w:w="108" w:type="dxa"/>
            </w:tcMar>
            <w:vAlign w:val="center"/>
          </w:tcPr>
          <w:p>
            <w:pPr>
              <w:spacing w:line="360" w:lineRule="auto"/>
              <w:jc w:val="center"/>
              <w:rPr>
                <w:kern w:val="0"/>
                <w:szCs w:val="21"/>
              </w:rPr>
            </w:pPr>
            <w:r>
              <w:rPr>
                <w:kern w:val="0"/>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00" w:hRule="atLeast"/>
          <w:jc w:val="center"/>
        </w:trPr>
        <w:tc>
          <w:tcPr>
            <w:tcW w:w="343" w:type="pct"/>
            <w:shd w:val="clear" w:color="auto" w:fill="FFFFFF"/>
            <w:tcMar>
              <w:top w:w="0" w:type="dxa"/>
              <w:left w:w="108" w:type="dxa"/>
              <w:bottom w:w="0" w:type="dxa"/>
              <w:right w:w="108" w:type="dxa"/>
            </w:tcMar>
            <w:vAlign w:val="center"/>
          </w:tcPr>
          <w:p>
            <w:pPr>
              <w:spacing w:line="360" w:lineRule="auto"/>
              <w:jc w:val="center"/>
              <w:rPr>
                <w:kern w:val="0"/>
                <w:szCs w:val="21"/>
              </w:rPr>
            </w:pPr>
            <w:r>
              <w:rPr>
                <w:kern w:val="0"/>
                <w:szCs w:val="21"/>
              </w:rPr>
              <w:t>4</w:t>
            </w:r>
          </w:p>
        </w:tc>
        <w:tc>
          <w:tcPr>
            <w:tcW w:w="695" w:type="pct"/>
            <w:shd w:val="clear" w:color="auto" w:fill="FFFFFF"/>
            <w:tcMar>
              <w:top w:w="0" w:type="dxa"/>
              <w:left w:w="108" w:type="dxa"/>
              <w:bottom w:w="0" w:type="dxa"/>
              <w:right w:w="108" w:type="dxa"/>
            </w:tcMar>
            <w:vAlign w:val="center"/>
          </w:tcPr>
          <w:p>
            <w:pPr>
              <w:widowControl/>
              <w:spacing w:line="360" w:lineRule="auto"/>
              <w:jc w:val="center"/>
              <w:rPr>
                <w:kern w:val="0"/>
                <w:szCs w:val="21"/>
              </w:rPr>
            </w:pPr>
            <w:r>
              <w:rPr>
                <w:kern w:val="0"/>
                <w:szCs w:val="21"/>
              </w:rPr>
              <w:t>履约能力</w:t>
            </w:r>
          </w:p>
        </w:tc>
        <w:tc>
          <w:tcPr>
            <w:tcW w:w="3562" w:type="pct"/>
            <w:shd w:val="clear" w:color="auto" w:fill="FFFFFF"/>
            <w:tcMar>
              <w:top w:w="0" w:type="dxa"/>
              <w:left w:w="108" w:type="dxa"/>
              <w:bottom w:w="0" w:type="dxa"/>
              <w:right w:w="108" w:type="dxa"/>
            </w:tcMar>
          </w:tcPr>
          <w:p>
            <w:pPr>
              <w:spacing w:line="360" w:lineRule="auto"/>
              <w:rPr>
                <w:bCs/>
                <w:szCs w:val="21"/>
              </w:rPr>
            </w:pPr>
            <w:r>
              <w:rPr>
                <w:bCs/>
                <w:szCs w:val="21"/>
              </w:rPr>
              <w:t>1、投标人为本项目拟派人员</w:t>
            </w:r>
            <w:r>
              <w:rPr>
                <w:b/>
                <w:szCs w:val="21"/>
              </w:rPr>
              <w:t>除项目经理外</w:t>
            </w:r>
            <w:r>
              <w:rPr>
                <w:bCs/>
                <w:szCs w:val="21"/>
              </w:rPr>
              <w:t>，每提供一名二级或以上建造师的得2分，最高得</w:t>
            </w:r>
            <w:r>
              <w:rPr>
                <w:rFonts w:hint="eastAsia"/>
                <w:bCs/>
                <w:szCs w:val="21"/>
              </w:rPr>
              <w:t>4</w:t>
            </w:r>
            <w:r>
              <w:rPr>
                <w:bCs/>
                <w:szCs w:val="21"/>
              </w:rPr>
              <w:t>分，提供证书和在职证明（投标单位为其缴纳的距开标近半年内任意一个月的社保或与投标公司签署的劳动合同）复印件并加盖公章，未提供或提供不足不得分；</w:t>
            </w:r>
          </w:p>
          <w:p>
            <w:pPr>
              <w:spacing w:line="360" w:lineRule="auto"/>
              <w:rPr>
                <w:szCs w:val="21"/>
              </w:rPr>
            </w:pPr>
            <w:r>
              <w:rPr>
                <w:bCs/>
                <w:szCs w:val="21"/>
              </w:rPr>
              <w:t>2、投标人为本项目提供不少于2名中级工程师的得4分，提供中级工程师职称证明和在职证明（投标单位为其缴纳的距开标近半年内任意一个月的社保或与投标公司签署的劳动合同）复印件并加盖公章，未提供或提供不足不得分。</w:t>
            </w:r>
          </w:p>
          <w:p>
            <w:pPr>
              <w:spacing w:line="360" w:lineRule="auto"/>
              <w:rPr>
                <w:kern w:val="0"/>
                <w:szCs w:val="21"/>
              </w:rPr>
            </w:pPr>
            <w:r>
              <w:rPr>
                <w:b/>
                <w:szCs w:val="21"/>
              </w:rPr>
              <w:t>注：二级或以上建造师人员与中级工程师人员可重复。</w:t>
            </w:r>
          </w:p>
        </w:tc>
        <w:tc>
          <w:tcPr>
            <w:tcW w:w="399" w:type="pct"/>
            <w:shd w:val="clear" w:color="auto" w:fill="FFFFFF"/>
            <w:tcMar>
              <w:top w:w="0" w:type="dxa"/>
              <w:left w:w="108" w:type="dxa"/>
              <w:bottom w:w="0" w:type="dxa"/>
              <w:right w:w="108" w:type="dxa"/>
            </w:tcMar>
            <w:vAlign w:val="center"/>
          </w:tcPr>
          <w:p>
            <w:pPr>
              <w:spacing w:line="360" w:lineRule="auto"/>
              <w:jc w:val="center"/>
              <w:rPr>
                <w:kern w:val="0"/>
                <w:szCs w:val="21"/>
              </w:rPr>
            </w:pPr>
            <w:r>
              <w:rPr>
                <w:rFonts w:hint="eastAsia"/>
                <w:kern w:val="0"/>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00" w:hRule="atLeast"/>
          <w:jc w:val="center"/>
        </w:trPr>
        <w:tc>
          <w:tcPr>
            <w:tcW w:w="343" w:type="pct"/>
            <w:shd w:val="clear" w:color="auto" w:fill="FFFFFF"/>
            <w:tcMar>
              <w:top w:w="0" w:type="dxa"/>
              <w:left w:w="108" w:type="dxa"/>
              <w:bottom w:w="0" w:type="dxa"/>
              <w:right w:w="108" w:type="dxa"/>
            </w:tcMar>
            <w:vAlign w:val="center"/>
          </w:tcPr>
          <w:p>
            <w:pPr>
              <w:spacing w:line="360" w:lineRule="auto"/>
              <w:jc w:val="center"/>
              <w:rPr>
                <w:kern w:val="0"/>
                <w:szCs w:val="21"/>
              </w:rPr>
            </w:pPr>
            <w:r>
              <w:rPr>
                <w:rFonts w:hint="eastAsia"/>
                <w:kern w:val="0"/>
                <w:szCs w:val="21"/>
              </w:rPr>
              <w:t>5</w:t>
            </w:r>
          </w:p>
        </w:tc>
        <w:tc>
          <w:tcPr>
            <w:tcW w:w="695" w:type="pct"/>
            <w:shd w:val="clear" w:color="auto" w:fill="FFFFFF"/>
            <w:tcMar>
              <w:top w:w="0" w:type="dxa"/>
              <w:left w:w="108" w:type="dxa"/>
              <w:bottom w:w="0" w:type="dxa"/>
              <w:right w:w="108" w:type="dxa"/>
            </w:tcMar>
            <w:vAlign w:val="center"/>
          </w:tcPr>
          <w:p>
            <w:pPr>
              <w:widowControl/>
              <w:spacing w:line="360" w:lineRule="auto"/>
              <w:jc w:val="center"/>
              <w:rPr>
                <w:kern w:val="0"/>
                <w:szCs w:val="21"/>
              </w:rPr>
            </w:pPr>
            <w:r>
              <w:rPr>
                <w:kern w:val="0"/>
                <w:szCs w:val="21"/>
              </w:rPr>
              <w:t>售后服务及承诺情况</w:t>
            </w:r>
          </w:p>
        </w:tc>
        <w:tc>
          <w:tcPr>
            <w:tcW w:w="3562" w:type="pct"/>
            <w:shd w:val="clear" w:color="auto" w:fill="FFFFFF"/>
            <w:tcMar>
              <w:top w:w="0" w:type="dxa"/>
              <w:left w:w="108" w:type="dxa"/>
              <w:bottom w:w="0" w:type="dxa"/>
              <w:right w:w="108" w:type="dxa"/>
            </w:tcMar>
          </w:tcPr>
          <w:p>
            <w:pPr>
              <w:spacing w:line="360" w:lineRule="auto"/>
              <w:rPr>
                <w:color w:val="000000"/>
                <w:szCs w:val="21"/>
              </w:rPr>
            </w:pPr>
            <w:r>
              <w:rPr>
                <w:rFonts w:hint="eastAsia"/>
                <w:color w:val="000000"/>
                <w:szCs w:val="21"/>
              </w:rPr>
              <w:t>1、整体项目在满足招标文件免费质保期要求的基础上每增加1年加1分，本项最高得2分。投标人提供售后服务承诺书（若投标文件中出现前后不一致的情况，以最低免费质保期作为评分依据）。</w:t>
            </w:r>
          </w:p>
          <w:p>
            <w:pPr>
              <w:spacing w:line="360" w:lineRule="auto"/>
              <w:rPr>
                <w:b/>
                <w:szCs w:val="21"/>
              </w:rPr>
            </w:pPr>
            <w:r>
              <w:rPr>
                <w:rFonts w:hint="eastAsia"/>
                <w:color w:val="000000"/>
                <w:szCs w:val="21"/>
              </w:rPr>
              <w:t>2、</w:t>
            </w:r>
            <w:r>
              <w:rPr>
                <w:color w:val="000000"/>
                <w:szCs w:val="21"/>
                <w:lang w:val="zh-CN"/>
              </w:rPr>
              <w:t>根据投标人提供售后服务方案（包含但不限于投标人承诺的质量保证范围、应急故障保障方案）</w:t>
            </w:r>
            <w:r>
              <w:rPr>
                <w:rFonts w:hint="eastAsia"/>
                <w:color w:val="000000"/>
                <w:szCs w:val="21"/>
                <w:lang w:val="zh-CN"/>
              </w:rPr>
              <w:t>进行打分：</w:t>
            </w:r>
            <w:r>
              <w:rPr>
                <w:szCs w:val="21"/>
                <w:lang w:bidi="ar"/>
              </w:rPr>
              <w:t>方案合理可行、针对性强得</w:t>
            </w:r>
            <w:r>
              <w:rPr>
                <w:rFonts w:hint="eastAsia"/>
                <w:szCs w:val="21"/>
                <w:lang w:bidi="ar"/>
              </w:rPr>
              <w:t>5</w:t>
            </w:r>
            <w:r>
              <w:rPr>
                <w:szCs w:val="21"/>
                <w:lang w:bidi="ar"/>
              </w:rPr>
              <w:t>分；方案基本合理可行、具有一定的针对性得</w:t>
            </w:r>
            <w:r>
              <w:rPr>
                <w:rFonts w:hint="eastAsia"/>
                <w:szCs w:val="21"/>
                <w:lang w:bidi="ar"/>
              </w:rPr>
              <w:t>3</w:t>
            </w:r>
            <w:r>
              <w:rPr>
                <w:szCs w:val="21"/>
                <w:lang w:bidi="ar"/>
              </w:rPr>
              <w:t>分；</w:t>
            </w:r>
            <w:r>
              <w:rPr>
                <w:rFonts w:hint="eastAsia"/>
                <w:szCs w:val="21"/>
                <w:lang w:bidi="ar"/>
              </w:rPr>
              <w:t>方案较差、不具备针对性得1分，</w:t>
            </w:r>
            <w:r>
              <w:rPr>
                <w:rFonts w:hint="eastAsia"/>
                <w:color w:val="000000"/>
                <w:szCs w:val="21"/>
                <w:lang w:bidi="zh-CN"/>
              </w:rPr>
              <w:t>未提供</w:t>
            </w:r>
            <w:r>
              <w:rPr>
                <w:color w:val="000000"/>
                <w:szCs w:val="21"/>
                <w:lang w:bidi="zh-CN"/>
              </w:rPr>
              <w:t>不得分</w:t>
            </w:r>
            <w:r>
              <w:rPr>
                <w:bCs/>
                <w:szCs w:val="21"/>
              </w:rPr>
              <w:t>。</w:t>
            </w:r>
          </w:p>
        </w:tc>
        <w:tc>
          <w:tcPr>
            <w:tcW w:w="399" w:type="pct"/>
            <w:shd w:val="clear" w:color="auto" w:fill="FFFFFF"/>
            <w:tcMar>
              <w:top w:w="0" w:type="dxa"/>
              <w:left w:w="108" w:type="dxa"/>
              <w:bottom w:w="0" w:type="dxa"/>
              <w:right w:w="108" w:type="dxa"/>
            </w:tcMar>
            <w:vAlign w:val="center"/>
          </w:tcPr>
          <w:p>
            <w:pPr>
              <w:spacing w:line="360" w:lineRule="auto"/>
              <w:jc w:val="center"/>
              <w:rPr>
                <w:kern w:val="0"/>
                <w:szCs w:val="21"/>
              </w:rPr>
            </w:pPr>
            <w:r>
              <w:rPr>
                <w:rFonts w:hint="eastAsia"/>
                <w:kern w:val="0"/>
                <w:szCs w:val="21"/>
              </w:rPr>
              <w:t>7</w:t>
            </w:r>
          </w:p>
        </w:tc>
      </w:tr>
    </w:tbl>
    <w:p>
      <w:pPr>
        <w:spacing w:line="360" w:lineRule="auto"/>
        <w:ind w:firstLine="422" w:firstLineChars="200"/>
        <w:rPr>
          <w:b/>
          <w:bCs/>
          <w:kern w:val="0"/>
          <w:szCs w:val="21"/>
        </w:rPr>
      </w:pPr>
      <w:r>
        <w:rPr>
          <w:b/>
          <w:bCs/>
          <w:kern w:val="0"/>
          <w:szCs w:val="21"/>
        </w:rPr>
        <w:t>说明：</w:t>
      </w:r>
      <w:r>
        <w:rPr>
          <w:b/>
          <w:szCs w:val="21"/>
        </w:rPr>
        <w:t>评</w:t>
      </w:r>
      <w:r>
        <w:rPr>
          <w:b/>
        </w:rPr>
        <w:t>审标准中涉及的</w:t>
      </w:r>
      <w:r>
        <w:rPr>
          <w:b/>
          <w:bCs/>
          <w:kern w:val="0"/>
          <w:szCs w:val="21"/>
        </w:rPr>
        <w:t>证明材料均需附入响应文件内（复印件加盖红章）。</w:t>
      </w:r>
    </w:p>
    <w:p>
      <w:pPr>
        <w:pStyle w:val="2"/>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Malgun Gothic Semilight">
    <w:panose1 w:val="020B0502040204020203"/>
    <w:charset w:val="86"/>
    <w:family w:val="swiss"/>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3BF58B"/>
    <w:multiLevelType w:val="singleLevel"/>
    <w:tmpl w:val="B73BF58B"/>
    <w:lvl w:ilvl="0" w:tentative="0">
      <w:start w:val="1"/>
      <w:numFmt w:val="decimal"/>
      <w:suff w:val="nothing"/>
      <w:lvlText w:val="%1、"/>
      <w:lvlJc w:val="left"/>
    </w:lvl>
  </w:abstractNum>
  <w:abstractNum w:abstractNumId="1">
    <w:nsid w:val="00000016"/>
    <w:multiLevelType w:val="multilevel"/>
    <w:tmpl w:val="00000016"/>
    <w:lvl w:ilvl="0" w:tentative="0">
      <w:start w:val="1"/>
      <w:numFmt w:val="none"/>
      <w:suff w:val="space"/>
      <w:lvlText w:val=""/>
      <w:lvlJc w:val="left"/>
      <w:pPr>
        <w:ind w:left="425" w:hanging="425"/>
      </w:pPr>
      <w:rPr>
        <w:rFonts w:hint="eastAsia" w:ascii="宋体" w:eastAsia="宋体"/>
        <w:b/>
        <w:i w:val="0"/>
        <w:sz w:val="28"/>
      </w:rPr>
    </w:lvl>
    <w:lvl w:ilvl="1" w:tentative="0">
      <w:start w:val="1"/>
      <w:numFmt w:val="decimal"/>
      <w:pStyle w:val="3"/>
      <w:suff w:val="space"/>
      <w:lvlText w:val="%1"/>
      <w:lvlJc w:val="left"/>
      <w:pPr>
        <w:ind w:left="992" w:hanging="567"/>
      </w:pPr>
      <w:rPr>
        <w:rFonts w:hint="eastAsia" w:ascii="宋体" w:eastAsia="宋体"/>
        <w:b/>
        <w:i w:val="0"/>
        <w:sz w:val="28"/>
      </w:rPr>
    </w:lvl>
    <w:lvl w:ilvl="2" w:tentative="0">
      <w:start w:val="1"/>
      <w:numFmt w:val="decimal"/>
      <w:suff w:val="space"/>
      <w:lvlText w:val="%3  "/>
      <w:lvlJc w:val="left"/>
      <w:pPr>
        <w:ind w:left="1418" w:hanging="567"/>
      </w:pPr>
      <w:rPr>
        <w:rFonts w:hint="eastAsia" w:ascii="宋体" w:eastAsia="宋体"/>
        <w:b/>
        <w:i w:val="0"/>
        <w:sz w:val="28"/>
      </w:rPr>
    </w:lvl>
    <w:lvl w:ilvl="3" w:tentative="0">
      <w:start w:val="1"/>
      <w:numFmt w:val="decimal"/>
      <w:lvlText w:val="%1"/>
      <w:lvlJc w:val="left"/>
      <w:pPr>
        <w:tabs>
          <w:tab w:val="left" w:pos="1984"/>
        </w:tabs>
        <w:ind w:left="1984" w:hanging="708"/>
      </w:pPr>
      <w:rPr>
        <w:rFonts w:hint="eastAsia" w:ascii="宋体" w:eastAsia="宋体"/>
        <w:b/>
        <w:i w:val="0"/>
        <w:sz w:val="28"/>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yZDVmMTY1OGJhMjc3NGE5ZjMyMmVkYjIyMTU3OWIifQ=="/>
  </w:docVars>
  <w:rsids>
    <w:rsidRoot w:val="007F0A96"/>
    <w:rsid w:val="007F0A96"/>
    <w:rsid w:val="00A1546D"/>
    <w:rsid w:val="00BD2763"/>
    <w:rsid w:val="00C30475"/>
    <w:rsid w:val="0ED9052F"/>
    <w:rsid w:val="14E34284"/>
    <w:rsid w:val="23460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numPr>
        <w:ilvl w:val="1"/>
        <w:numId w:val="1"/>
      </w:numPr>
      <w:spacing w:before="260" w:after="260" w:line="288" w:lineRule="auto"/>
      <w:outlineLvl w:val="1"/>
    </w:pPr>
    <w:rPr>
      <w:rFonts w:ascii="Arial" w:hAnsi="Arial" w:eastAsia="黑体"/>
      <w:sz w:val="30"/>
      <w:szCs w:val="20"/>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正文1"/>
    <w:basedOn w:val="1"/>
    <w:qFormat/>
    <w:uiPriority w:val="0"/>
    <w:pPr>
      <w:widowControl/>
      <w:spacing w:after="200" w:line="300" w:lineRule="atLeast"/>
      <w:jc w:val="left"/>
    </w:pPr>
    <w:rPr>
      <w:rFonts w:ascii="Calibri" w:hAnsi="Calibri" w:cs="宋体"/>
      <w:kern w:val="0"/>
      <w:sz w:val="22"/>
      <w:szCs w:val="22"/>
    </w:rPr>
  </w:style>
  <w:style w:type="paragraph" w:styleId="4">
    <w:name w:val="Normal Indent"/>
    <w:basedOn w:val="1"/>
    <w:qFormat/>
    <w:uiPriority w:val="0"/>
    <w:pPr>
      <w:adjustRightInd w:val="0"/>
      <w:spacing w:line="360" w:lineRule="atLeast"/>
      <w:ind w:firstLine="420"/>
      <w:jc w:val="left"/>
      <w:textAlignment w:val="baseline"/>
    </w:pPr>
    <w:rPr>
      <w:kern w:val="0"/>
      <w:sz w:val="24"/>
      <w:szCs w:val="20"/>
    </w:rPr>
  </w:style>
  <w:style w:type="paragraph" w:styleId="5">
    <w:name w:val="Body Text"/>
    <w:basedOn w:val="1"/>
    <w:next w:val="1"/>
    <w:qFormat/>
    <w:uiPriority w:val="0"/>
    <w:pPr>
      <w:adjustRightInd w:val="0"/>
      <w:spacing w:after="120" w:line="312" w:lineRule="atLeast"/>
      <w:textAlignment w:val="baseline"/>
    </w:pPr>
    <w:rPr>
      <w:kern w:val="0"/>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Body Text First Indent"/>
    <w:basedOn w:val="5"/>
    <w:uiPriority w:val="0"/>
    <w:pPr>
      <w:ind w:firstLine="420" w:firstLineChars="100"/>
    </w:pPr>
  </w:style>
  <w:style w:type="character" w:styleId="10">
    <w:name w:val="page number"/>
    <w:qFormat/>
    <w:uiPriority w:val="0"/>
  </w:style>
  <w:style w:type="character" w:styleId="11">
    <w:name w:val="Hyperlink"/>
    <w:basedOn w:val="9"/>
    <w:unhideWhenUsed/>
    <w:uiPriority w:val="99"/>
    <w:rPr>
      <w:color w:val="0000FF"/>
      <w:u w:val="single"/>
    </w:rPr>
  </w:style>
  <w:style w:type="paragraph" w:customStyle="1" w:styleId="12">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styleId="13">
    <w:name w:val="List Paragraph"/>
    <w:basedOn w:val="1"/>
    <w:qFormat/>
    <w:uiPriority w:val="99"/>
    <w:pPr>
      <w:spacing w:line="300" w:lineRule="auto"/>
      <w:ind w:firstLine="420" w:firstLineChars="200"/>
      <w:jc w:val="left"/>
    </w:pPr>
    <w:rPr>
      <w:szCs w:val="22"/>
    </w:rPr>
  </w:style>
  <w:style w:type="paragraph" w:customStyle="1" w:styleId="14">
    <w:name w:val="Normal_3"/>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616</Words>
  <Characters>3513</Characters>
  <Lines>29</Lines>
  <Paragraphs>8</Paragraphs>
  <TotalTime>4</TotalTime>
  <ScaleCrop>false</ScaleCrop>
  <LinksUpToDate>false</LinksUpToDate>
  <CharactersWithSpaces>4121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2023-09-27T06:31:00Z</dcterms:created>
  <dc:creator>CGBGS</dc:creator>
  <cp:lastModifiedBy>Tsar Zhou</cp:lastModifiedBy>
  <dcterms:modified xsi:type="dcterms:W3CDTF">2023-09-27T06:34:40Z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9C2CADD74E1B4ECFAEAFC0B4A28D1F71_12</vt:lpwstr>
  </property>
</Properties>
</file>